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министерства ЖКХ и ТЭК Нижегородской области от 10.02.2014 N 6</w:t>
              <w:br/>
              <w:t xml:space="preserve">(ред. от 07.11.2023)</w:t>
              <w:br/>
              <w:t xml:space="preserve">"Об утверждении Порядка применения критериев очередности проведения капитального ремонта общего имущества в многоквартирных домах"</w:t>
              <w:br/>
              <w:t xml:space="preserve">(Включен в Реестр нормативных актов органов исполнительной власти Нижегородской области 01.08.2014 N 05875-317-006)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19.03.2025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  <w:outlineLvl w:val="0"/>
      </w:pPr>
      <w:r>
        <w:rPr>
          <w:sz w:val="24"/>
        </w:rPr>
        <w:t xml:space="preserve">Включен в Реестр нормативных актов органов исполнительной власти Нижегородской области 1 августа 2014 года N 05875-317-006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ЖИЛИЩНО-КОММУНАЛЬНОГО ХОЗЯЙСТВА</w:t>
      </w:r>
    </w:p>
    <w:p>
      <w:pPr>
        <w:pStyle w:val="2"/>
        <w:jc w:val="center"/>
      </w:pPr>
      <w:r>
        <w:rPr>
          <w:sz w:val="24"/>
        </w:rPr>
        <w:t xml:space="preserve">И ТОПЛИВНО-ЭНЕРГЕТИЧЕСКОГО КОМПЛЕКСА НИЖЕГОРОДСКОЙ ОБЛАСТИ</w:t>
      </w:r>
    </w:p>
    <w:p>
      <w:pPr>
        <w:pStyle w:val="2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10 февраля 2014 г. N 6</w:t>
      </w:r>
    </w:p>
    <w:p>
      <w:pPr>
        <w:pStyle w:val="2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ПОРЯДКА</w:t>
      </w:r>
    </w:p>
    <w:p>
      <w:pPr>
        <w:pStyle w:val="2"/>
        <w:jc w:val="center"/>
      </w:pPr>
      <w:r>
        <w:rPr>
          <w:sz w:val="24"/>
        </w:rPr>
        <w:t xml:space="preserve">ПРИМЕНЕНИЯ КРИТЕРИЕВ ОЧЕРЕДНОСТИ ПРОВЕДЕНИЯ КАПИТАЛЬНОГО</w:t>
      </w:r>
    </w:p>
    <w:p>
      <w:pPr>
        <w:pStyle w:val="2"/>
        <w:jc w:val="center"/>
      </w:pPr>
      <w:r>
        <w:rPr>
          <w:sz w:val="24"/>
        </w:rPr>
        <w:t xml:space="preserve">РЕМОНТА ОБЩЕГО ИМУЩЕСТВА В МНОГОКВАРТИРНЫХ ДОМАХ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(в ред. </w:t>
            </w:r>
            <w:hyperlink w:history="0" r:id="rId7" w:tooltip="Приказ министерства строительства, ЖКХ и ТЭК Нижегородской области от 29.04.2016 N 67/од &quot;О внесении изменений в Порядок применения критериев очередности проведения капитального ремонта общего имущества в многоквартирных домах, утвержденный приказом министерства жилищно-коммунального хозяйства и топливно-энергетического комплекса Нижегородской области от 10 февраля 2014 года N 6&quot; (Включен в Реестр нормативных актов органов исполнительной власти Нижегородской области 19.05.2016 N 08419-328-067/од) {КонсультантПлюс}">
              <w:r>
                <w:rPr>
                  <w:sz w:val="24"/>
                  <w:color w:val="0000ff"/>
                </w:rPr>
                <w:t xml:space="preserve">приказа</w:t>
              </w:r>
            </w:hyperlink>
            <w:r>
              <w:rPr>
                <w:sz w:val="24"/>
                <w:color w:val="392c69"/>
              </w:rPr>
              <w:t xml:space="preserve"> министерства строительства, ЖКХ и ТЭК Нижегородской области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29.04.2016 N 67/од,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приказов министерства энергетики и ЖКХ Нижегородской области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02.08.2016 </w:t>
            </w:r>
            <w:hyperlink w:history="0" r:id="rId8" w:tooltip="Приказ министерства энергетики и ЖКХ Нижегородской области от 02.08.2016 N 12 &quot;О внесении изменений в Порядок применения критериев очередности проведения капитального ремонта общего имущества в многоквартирных домах, утвержденный приказом министерства жилищно-коммунального хозяйства и топливно-энергетического комплекса Нижегородской области от 10 февраля 2014 года N 6&quot; (Включен в Реестр нормативных актов органов исполнительной власти Нижегородской области 16.08.2016 N 08647-329-012) {КонсультантПлюс}">
              <w:r>
                <w:rPr>
                  <w:sz w:val="24"/>
                  <w:color w:val="0000ff"/>
                </w:rPr>
                <w:t xml:space="preserve">N 12</w:t>
              </w:r>
            </w:hyperlink>
            <w:r>
              <w:rPr>
                <w:sz w:val="24"/>
                <w:color w:val="392c69"/>
              </w:rPr>
              <w:t xml:space="preserve">, от 10.01.2017 </w:t>
            </w:r>
            <w:hyperlink w:history="0" r:id="rId9" w:tooltip="Приказ министерства энергетики и ЖКХ Нижегородской области от 10.01.2017 N 1 &quot;О внесении изменений в Порядок применения критериев очередности проведения капитального ремонта общего имущества в многоквартирных домах, утвержденный приказом министерства жилищно-коммунального хозяйства и топливно-энергетического комплекса Нижегородской области от 10 февраля 2014 года N 6&quot; (Включен в Реестр нормативных актов органов исполнительной власти Нижегородской области 27.01.2017 N 09774-329-001) {КонсультантПлюс}">
              <w:r>
                <w:rPr>
                  <w:sz w:val="24"/>
                  <w:color w:val="0000ff"/>
                </w:rPr>
                <w:t xml:space="preserve">N 1</w:t>
              </w:r>
            </w:hyperlink>
            <w:r>
              <w:rPr>
                <w:sz w:val="24"/>
                <w:color w:val="392c69"/>
              </w:rPr>
              <w:t xml:space="preserve">, от 13.01.2021 </w:t>
            </w:r>
            <w:hyperlink w:history="0" r:id="rId10" w:tooltip="Приказ министерства энергетики и ЖКХ Нижегородской области от 13.01.2021 N 329-8/21П/од &quot;О внесении изменений в Порядок применения критериев очередности проведения капитального ремонта общего имущества в многоквартирных домах, утвержденный приказом министерства жилищно-коммунального хозяйства и топливно-энергетического комплекса Нижегородской области от 10 февраля 2014 г. N 6, и о признании утратившим силу приказа министерства энергетики и жилищно-коммунального хозяйства Нижегородской области от 7 декабря 2 {КонсультантПлюс}">
              <w:r>
                <w:rPr>
                  <w:sz w:val="24"/>
                  <w:color w:val="0000ff"/>
                </w:rPr>
                <w:t xml:space="preserve">N 329-8/21П/од</w:t>
              </w:r>
            </w:hyperlink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07.11.2023 </w:t>
            </w:r>
            <w:hyperlink w:history="0" r:id="rId11" w:tooltip="Приказ министерства энергетики и ЖКХ Нижегородской области от 07.11.2023 N 329-468/23П/од &quot;О внесении изменений в Порядок применения критериев очередности проведения капитального ремонта общего имущества в многоквартирных домах, утвержденный приказом министерства жилищно-коммунального хозяйства и топливно-энергетического комплекса Нижегородской области от 10 февраля 2014 г. N 6&quot; (Включен в Реестр нормативных актов органов исполнительной власти Нижегородской области 14.02.2023 N 25112-329-329-468/23П/од) {КонсультантПлюс}">
              <w:r>
                <w:rPr>
                  <w:sz w:val="24"/>
                  <w:color w:val="0000ff"/>
                </w:rPr>
                <w:t xml:space="preserve">N 329-468/23П/од</w:t>
              </w:r>
            </w:hyperlink>
            <w:r>
              <w:rPr>
                <w:sz w:val="24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12" w:tooltip="Закон Нижегородской области от 28.11.2013 N 159-З (ред. от 13.11.2024, с изм. от 12.03.2025) &quot;Об организации проведения капитального ремонта общего имущества в многоквартирных домах, расположенных на территории Нижегородской области&quot; (принят постановлением ЗС НО от 22.11.2013 N 1109-V) {КонсультантПлюс}">
        <w:r>
          <w:rPr>
            <w:sz w:val="24"/>
            <w:color w:val="0000ff"/>
          </w:rPr>
          <w:t xml:space="preserve">частью 4 статьи 16</w:t>
        </w:r>
      </w:hyperlink>
      <w:r>
        <w:rPr>
          <w:sz w:val="24"/>
        </w:rPr>
        <w:t xml:space="preserve"> Закона Нижегородской области от 28 ноября 2013 года N 159-З "Об организации проведения капитального ремонта общего имущества в многоквартирных домах, расположенных на территории Нижегородской области" приказываю: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утвердить прилагаемый </w:t>
      </w:r>
      <w:hyperlink w:history="0" w:anchor="P37" w:tooltip="ПОРЯДОК">
        <w:r>
          <w:rPr>
            <w:sz w:val="24"/>
            <w:color w:val="0000ff"/>
          </w:rPr>
          <w:t xml:space="preserve">Порядок</w:t>
        </w:r>
      </w:hyperlink>
      <w:r>
        <w:rPr>
          <w:sz w:val="24"/>
        </w:rPr>
        <w:t xml:space="preserve"> применения критериев очередности проведения капитального ремонта общего имущества в многоквартирных домах.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Министр</w:t>
      </w:r>
    </w:p>
    <w:p>
      <w:pPr>
        <w:pStyle w:val="0"/>
        <w:jc w:val="right"/>
      </w:pPr>
      <w:r>
        <w:rPr>
          <w:sz w:val="24"/>
        </w:rPr>
        <w:t xml:space="preserve">В.В.УЛЬЯНОВ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</w:t>
      </w:r>
    </w:p>
    <w:p>
      <w:pPr>
        <w:pStyle w:val="0"/>
        <w:jc w:val="right"/>
      </w:pPr>
      <w:r>
        <w:rPr>
          <w:sz w:val="24"/>
        </w:rPr>
        <w:t xml:space="preserve">к приказу</w:t>
      </w:r>
    </w:p>
    <w:p>
      <w:pPr>
        <w:pStyle w:val="0"/>
        <w:jc w:val="right"/>
      </w:pPr>
      <w:r>
        <w:rPr>
          <w:sz w:val="24"/>
        </w:rPr>
        <w:t xml:space="preserve">министерства жилищно-коммунального хозяйства</w:t>
      </w:r>
    </w:p>
    <w:p>
      <w:pPr>
        <w:pStyle w:val="0"/>
        <w:jc w:val="right"/>
      </w:pPr>
      <w:r>
        <w:rPr>
          <w:sz w:val="24"/>
        </w:rPr>
        <w:t xml:space="preserve">и топливно-энергетического комплекса</w:t>
      </w:r>
    </w:p>
    <w:p>
      <w:pPr>
        <w:pStyle w:val="0"/>
        <w:jc w:val="right"/>
      </w:pPr>
      <w:r>
        <w:rPr>
          <w:sz w:val="24"/>
        </w:rPr>
        <w:t xml:space="preserve">Нижегородской области</w:t>
      </w:r>
    </w:p>
    <w:p>
      <w:pPr>
        <w:pStyle w:val="0"/>
        <w:jc w:val="right"/>
      </w:pPr>
      <w:r>
        <w:rPr>
          <w:sz w:val="24"/>
        </w:rPr>
        <w:t xml:space="preserve">от 10.02.2014 N 6</w:t>
      </w:r>
    </w:p>
    <w:p>
      <w:pPr>
        <w:pStyle w:val="0"/>
        <w:jc w:val="both"/>
      </w:pPr>
      <w:r>
        <w:rPr>
          <w:sz w:val="24"/>
        </w:rPr>
      </w:r>
    </w:p>
    <w:bookmarkStart w:id="37" w:name="P37"/>
    <w:bookmarkEnd w:id="37"/>
    <w:p>
      <w:pPr>
        <w:pStyle w:val="2"/>
        <w:jc w:val="center"/>
      </w:pPr>
      <w:r>
        <w:rPr>
          <w:sz w:val="24"/>
        </w:rPr>
        <w:t xml:space="preserve">ПОРЯДОК</w:t>
      </w:r>
    </w:p>
    <w:p>
      <w:pPr>
        <w:pStyle w:val="2"/>
        <w:jc w:val="center"/>
      </w:pPr>
      <w:r>
        <w:rPr>
          <w:sz w:val="24"/>
        </w:rPr>
        <w:t xml:space="preserve">ПРИМЕНЕНИЯ КРИТЕРИЕВ ОЧЕРЕДНОСТИ ПРОВЕДЕНИЯ КАПИТАЛЬНОГО</w:t>
      </w:r>
    </w:p>
    <w:p>
      <w:pPr>
        <w:pStyle w:val="2"/>
        <w:jc w:val="center"/>
      </w:pPr>
      <w:r>
        <w:rPr>
          <w:sz w:val="24"/>
        </w:rPr>
        <w:t xml:space="preserve">РЕМОНТА ОБЩЕГО ИМУЩЕСТВА В МНОГОКВАРТИРНЫХ ДОМАХ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(в ред. </w:t>
            </w:r>
            <w:hyperlink w:history="0" r:id="rId13" w:tooltip="Приказ министерства строительства, ЖКХ и ТЭК Нижегородской области от 29.04.2016 N 67/од &quot;О внесении изменений в Порядок применения критериев очередности проведения капитального ремонта общего имущества в многоквартирных домах, утвержденный приказом министерства жилищно-коммунального хозяйства и топливно-энергетического комплекса Нижегородской области от 10 февраля 2014 года N 6&quot; (Включен в Реестр нормативных актов органов исполнительной власти Нижегородской области 19.05.2016 N 08419-328-067/од) {КонсультантПлюс}">
              <w:r>
                <w:rPr>
                  <w:sz w:val="24"/>
                  <w:color w:val="0000ff"/>
                </w:rPr>
                <w:t xml:space="preserve">приказа</w:t>
              </w:r>
            </w:hyperlink>
            <w:r>
              <w:rPr>
                <w:sz w:val="24"/>
                <w:color w:val="392c69"/>
              </w:rPr>
              <w:t xml:space="preserve"> министерства строительства, ЖКХ и ТЭК Нижегородской области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29.04.2016 N 67/од,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приказов министерства энергетики и ЖКХ Нижегородской области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10.01.2017 </w:t>
            </w:r>
            <w:hyperlink w:history="0" r:id="rId14" w:tooltip="Приказ министерства энергетики и ЖКХ Нижегородской области от 10.01.2017 N 1 &quot;О внесении изменений в Порядок применения критериев очередности проведения капитального ремонта общего имущества в многоквартирных домах, утвержденный приказом министерства жилищно-коммунального хозяйства и топливно-энергетического комплекса Нижегородской области от 10 февраля 2014 года N 6&quot; (Включен в Реестр нормативных актов органов исполнительной власти Нижегородской области 27.01.2017 N 09774-329-001) {КонсультантПлюс}">
              <w:r>
                <w:rPr>
                  <w:sz w:val="24"/>
                  <w:color w:val="0000ff"/>
                </w:rPr>
                <w:t xml:space="preserve">N 1</w:t>
              </w:r>
            </w:hyperlink>
            <w:r>
              <w:rPr>
                <w:sz w:val="24"/>
                <w:color w:val="392c69"/>
              </w:rPr>
              <w:t xml:space="preserve">, от 13.01.2021 </w:t>
            </w:r>
            <w:hyperlink w:history="0" r:id="rId15" w:tooltip="Приказ министерства энергетики и ЖКХ Нижегородской области от 13.01.2021 N 329-8/21П/од &quot;О внесении изменений в Порядок применения критериев очередности проведения капитального ремонта общего имущества в многоквартирных домах, утвержденный приказом министерства жилищно-коммунального хозяйства и топливно-энергетического комплекса Нижегородской области от 10 февраля 2014 г. N 6, и о признании утратившим силу приказа министерства энергетики и жилищно-коммунального хозяйства Нижегородской области от 7 декабря 2 {КонсультантПлюс}">
              <w:r>
                <w:rPr>
                  <w:sz w:val="24"/>
                  <w:color w:val="0000ff"/>
                </w:rPr>
                <w:t xml:space="preserve">N 329-8/21П/од</w:t>
              </w:r>
            </w:hyperlink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07.11.2023 </w:t>
            </w:r>
            <w:hyperlink w:history="0" r:id="rId16" w:tooltip="Приказ министерства энергетики и ЖКХ Нижегородской области от 07.11.2023 N 329-468/23П/од &quot;О внесении изменений в Порядок применения критериев очередности проведения капитального ремонта общего имущества в многоквартирных домах, утвержденный приказом министерства жилищно-коммунального хозяйства и топливно-энергетического комплекса Нижегородской области от 10 февраля 2014 г. N 6&quot; (Включен в Реестр нормативных актов органов исполнительной власти Нижегородской области 14.02.2023 N 25112-329-329-468/23П/од) {КонсультантПлюс}">
              <w:r>
                <w:rPr>
                  <w:sz w:val="24"/>
                  <w:color w:val="0000ff"/>
                </w:rPr>
                <w:t xml:space="preserve">N 329-468/23П/од</w:t>
              </w:r>
            </w:hyperlink>
            <w:r>
              <w:rPr>
                <w:sz w:val="24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Порядок применения критериев очередности проведения капитального ремонта общего имущества в многоквартирных домах (далее - Порядок) разработан в соответствии с </w:t>
      </w:r>
      <w:hyperlink w:history="0" r:id="rId17" w:tooltip="Закон Нижегородской области от 28.11.2013 N 159-З (ред. от 13.11.2024, с изм. от 12.03.2025) &quot;Об организации проведения капитального ремонта общего имущества в многоквартирных домах, расположенных на территории Нижегородской области&quot; (принят постановлением ЗС НО от 22.11.2013 N 1109-V)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Нижегородской области от 28 ноября 2013 года N 159-З "Об организации проведения капитального ремонта общего имущества в многоквартирных домах, расположенных на территории Нижегородской области" и в целях формирования региональной программы по проведению капитального ремонта общего имущества в многоквартирных домах, расположенных на территории Нижегородской области (далее - региональная программа).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18" w:tooltip="Приказ министерства энергетики и ЖКХ Нижегородской области от 10.01.2017 N 1 &quot;О внесении изменений в Порядок применения критериев очередности проведения капитального ремонта общего имущества в многоквартирных домах, утвержденный приказом министерства жилищно-коммунального хозяйства и топливно-энергетического комплекса Нижегородской области от 10 февраля 2014 года N 6&quot; (Включен в Реестр нормативных актов органов исполнительной власти Нижегородской области 27.01.2017 N 09774-329-001) {КонсультантПлюс}">
        <w:r>
          <w:rPr>
            <w:sz w:val="24"/>
            <w:color w:val="0000ff"/>
          </w:rPr>
          <w:t xml:space="preserve">приказа</w:t>
        </w:r>
      </w:hyperlink>
      <w:r>
        <w:rPr>
          <w:sz w:val="24"/>
        </w:rPr>
        <w:t xml:space="preserve"> министерства энергетики и ЖКХ Нижегородской области от 10.01.2017 N 1)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Абзац исключен. - </w:t>
      </w:r>
      <w:hyperlink w:history="0" r:id="rId19" w:tooltip="Приказ министерства энергетики и ЖКХ Нижегородской области от 13.01.2021 N 329-8/21П/од &quot;О внесении изменений в Порядок применения критериев очередности проведения капитального ремонта общего имущества в многоквартирных домах, утвержденный приказом министерства жилищно-коммунального хозяйства и топливно-энергетического комплекса Нижегородской области от 10 февраля 2014 г. N 6, и о признании утратившим силу приказа министерства энергетики и жилищно-коммунального хозяйства Нижегородской области от 7 декабря 2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министерства энергетики и ЖКХ Нижегородской области от 13.01.2021 N 329-8/21П/од.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Определение очередности проведения капитального ремонта общего имущества в многоквартирных домах для целей формирования и актуализации региональной программы осуществляется исходя из следующих критериев: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20" w:tooltip="Приказ министерства энергетики и ЖКХ Нижегородской области от 10.01.2017 N 1 &quot;О внесении изменений в Порядок применения критериев очередности проведения капитального ремонта общего имущества в многоквартирных домах, утвержденный приказом министерства жилищно-коммунального хозяйства и топливно-энергетического комплекса Нижегородской области от 10 февраля 2014 года N 6&quot; (Включен в Реестр нормативных актов органов исполнительной власти Нижегородской области 27.01.2017 N 09774-329-001) {КонсультантПлюс}">
        <w:r>
          <w:rPr>
            <w:sz w:val="24"/>
            <w:color w:val="0000ff"/>
          </w:rPr>
          <w:t xml:space="preserve">приказа</w:t>
        </w:r>
      </w:hyperlink>
      <w:r>
        <w:rPr>
          <w:sz w:val="24"/>
        </w:rPr>
        <w:t xml:space="preserve"> министерства энергетики и ЖКХ Нижегородской области от 10.01.2017 N 1)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год ввода в эксплуатацию многоквартирного дома;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дата последнего проведения капитального ремонта общего имущества в многоквартирном доме (применяется отдельно в отношении видов работ, планируемых в рамках региональной программы);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21" w:tooltip="Приказ министерства энергетики и ЖКХ Нижегородской области от 10.01.2017 N 1 &quot;О внесении изменений в Порядок применения критериев очередности проведения капитального ремонта общего имущества в многоквартирных домах, утвержденный приказом министерства жилищно-коммунального хозяйства и топливно-энергетического комплекса Нижегородской области от 10 февраля 2014 года N 6&quot; (Включен в Реестр нормативных актов органов исполнительной власти Нижегородской области 27.01.2017 N 09774-329-001) {КонсультантПлюс}">
        <w:r>
          <w:rPr>
            <w:sz w:val="24"/>
            <w:color w:val="0000ff"/>
          </w:rPr>
          <w:t xml:space="preserve">приказа</w:t>
        </w:r>
      </w:hyperlink>
      <w:r>
        <w:rPr>
          <w:sz w:val="24"/>
        </w:rPr>
        <w:t xml:space="preserve"> министерства энергетики и ЖКХ Нижегородской области от 10.01.2017 N 1)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своевременность и полнота внесения взносов на капитальный ремонт (критерий применяется только при актуализации региональной программы);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22" w:tooltip="Приказ министерства энергетики и ЖКХ Нижегородской области от 10.01.2017 N 1 &quot;О внесении изменений в Порядок применения критериев очередности проведения капитального ремонта общего имущества в многоквартирных домах, утвержденный приказом министерства жилищно-коммунального хозяйства и топливно-энергетического комплекса Нижегородской области от 10 февраля 2014 года N 6&quot; (Включен в Реестр нормативных актов органов исполнительной власти Нижегородской области 27.01.2017 N 09774-329-001) {КонсультантПлюс}">
        <w:r>
          <w:rPr>
            <w:sz w:val="24"/>
            <w:color w:val="0000ff"/>
          </w:rPr>
          <w:t xml:space="preserve">приказа</w:t>
        </w:r>
      </w:hyperlink>
      <w:r>
        <w:rPr>
          <w:sz w:val="24"/>
        </w:rPr>
        <w:t xml:space="preserve"> министерства энергетики и ЖКХ Нижегородской области от 10.01.2017 N 1)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многоквартирные дома, управление которыми осуществляется товариществами собственников жилья, и многоквартирные дома, в которых сформирован (избран) совет многоквартирного дома;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доля помещений в многоквартирном доме, оборудованных индивидуальными приборами учета горячей и холодной воды, электроэнергии, в общем количестве помещений в многоквартирном доме;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6) продолжительность эксплуатации конструктивных элементов и инженерных систем многоквартирного дома.</w:t>
      </w:r>
    </w:p>
    <w:p>
      <w:pPr>
        <w:pStyle w:val="0"/>
        <w:jc w:val="both"/>
      </w:pPr>
      <w:r>
        <w:rPr>
          <w:sz w:val="24"/>
        </w:rPr>
        <w:t xml:space="preserve">(подп. 6 введен </w:t>
      </w:r>
      <w:hyperlink w:history="0" r:id="rId23" w:tooltip="Приказ министерства энергетики и ЖКХ Нижегородской области от 13.01.2021 N 329-8/21П/од &quot;О внесении изменений в Порядок применения критериев очередности проведения капитального ремонта общего имущества в многоквартирных домах, утвержденный приказом министерства жилищно-коммунального хозяйства и топливно-энергетического комплекса Нижегородской области от 10 февраля 2014 г. N 6, и о признании утратившим силу приказа министерства энергетики и жилищно-коммунального хозяйства Нижегородской области от 7 декабря 2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министерства энергетики и ЖКХ Нижегородской области от 13.01.2021 N 329-8/21П/од)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Определение очередности проведения капитального ремонта общего имущества в многоквартирных домах в разрезе видов работ по капитальному ремонту при формировании и актуализации региональной программы осуществляется в соответствии с суммарным количеством баллов, присваиваемым многоквартирным домам согласно </w:t>
      </w:r>
      <w:hyperlink w:history="0" w:anchor="P89" w:tooltip="КРИТЕРИИ">
        <w:r>
          <w:rPr>
            <w:sz w:val="24"/>
            <w:color w:val="0000ff"/>
          </w:rPr>
          <w:t xml:space="preserve">приложению</w:t>
        </w:r>
      </w:hyperlink>
      <w:r>
        <w:rPr>
          <w:sz w:val="24"/>
        </w:rPr>
        <w:t xml:space="preserve"> к настоящему Порядку, в порядке убывания. Органы местного самоуправления самостоятельно определяют количество баллов для каждого из критериев в диапазоне согласно приложению к настоящему Порядку.</w:t>
      </w:r>
    </w:p>
    <w:p>
      <w:pPr>
        <w:pStyle w:val="0"/>
        <w:jc w:val="both"/>
      </w:pPr>
      <w:r>
        <w:rPr>
          <w:sz w:val="24"/>
        </w:rPr>
        <w:t xml:space="preserve">(в ред. приказов министерства энергетики и ЖКХ Нижегородской области от 10.01.2017 </w:t>
      </w:r>
      <w:hyperlink w:history="0" r:id="rId24" w:tooltip="Приказ министерства энергетики и ЖКХ Нижегородской области от 10.01.2017 N 1 &quot;О внесении изменений в Порядок применения критериев очередности проведения капитального ремонта общего имущества в многоквартирных домах, утвержденный приказом министерства жилищно-коммунального хозяйства и топливно-энергетического комплекса Нижегородской области от 10 февраля 2014 года N 6&quot; (Включен в Реестр нормативных актов органов исполнительной власти Нижегородской области 27.01.2017 N 09774-329-001) {КонсультантПлюс}">
        <w:r>
          <w:rPr>
            <w:sz w:val="24"/>
            <w:color w:val="0000ff"/>
          </w:rPr>
          <w:t xml:space="preserve">N 1</w:t>
        </w:r>
      </w:hyperlink>
      <w:r>
        <w:rPr>
          <w:sz w:val="24"/>
        </w:rPr>
        <w:t xml:space="preserve">, от 13.01.2021 </w:t>
      </w:r>
      <w:hyperlink w:history="0" r:id="rId25" w:tooltip="Приказ министерства энергетики и ЖКХ Нижегородской области от 13.01.2021 N 329-8/21П/од &quot;О внесении изменений в Порядок применения критериев очередности проведения капитального ремонта общего имущества в многоквартирных домах, утвержденный приказом министерства жилищно-коммунального хозяйства и топливно-энергетического комплекса Нижегородской области от 10 февраля 2014 г. N 6, и о признании утратившим силу приказа министерства энергетики и жилищно-коммунального хозяйства Нижегородской области от 7 декабря 2 {КонсультантПлюс}">
        <w:r>
          <w:rPr>
            <w:sz w:val="24"/>
            <w:color w:val="0000ff"/>
          </w:rPr>
          <w:t xml:space="preserve">N 329-8/21П/од</w:t>
        </w:r>
      </w:hyperlink>
      <w:r>
        <w:rPr>
          <w:sz w:val="24"/>
        </w:rPr>
        <w:t xml:space="preserve">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равном суммарном количестве баллов преимущественное право очередности включения в региональную программу отдается многоквартирным домам в соответствии со значением одного из вышеуказанных критериев, определяемых в данных целях органами местного самоуправления Нижегородской области самостоятельно муниципальными правовыми актами в соответствии с характерными особенностями общей совокупности многоквартирных домов, расположенных на территории муниципальных и городских округов Нижегородской области. В случае если на территории муниципального (городского) округа не принят соответствующий муниципальный правовой акт, преимущество при определении очередности включения многоквартирного дома в региональную программу отдается дому с наиболее высоким значением критерия "своевременность и полнота внесения взносов на капитальный ремонт", определенным в соответствии с </w:t>
      </w:r>
      <w:hyperlink w:history="0" w:anchor="P89" w:tooltip="КРИТЕРИИ">
        <w:r>
          <w:rPr>
            <w:sz w:val="24"/>
            <w:color w:val="0000ff"/>
          </w:rPr>
          <w:t xml:space="preserve">приложением</w:t>
        </w:r>
      </w:hyperlink>
      <w:r>
        <w:rPr>
          <w:sz w:val="24"/>
        </w:rPr>
        <w:t xml:space="preserve"> к Порядку.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26" w:tooltip="Приказ министерства энергетики и ЖКХ Нижегородской области от 07.11.2023 N 329-468/23П/од &quot;О внесении изменений в Порядок применения критериев очередности проведения капитального ремонта общего имущества в многоквартирных домах, утвержденный приказом министерства жилищно-коммунального хозяйства и топливно-энергетического комплекса Нижегородской области от 10 февраля 2014 г. N 6&quot; (Включен в Реестр нормативных актов органов исполнительной власти Нижегородской области 14.02.2023 N 25112-329-329-468/23П/од) {КонсультантПлюс}">
        <w:r>
          <w:rPr>
            <w:sz w:val="24"/>
            <w:color w:val="0000ff"/>
          </w:rPr>
          <w:t xml:space="preserve">приказа</w:t>
        </w:r>
      </w:hyperlink>
      <w:r>
        <w:rPr>
          <w:sz w:val="24"/>
        </w:rPr>
        <w:t xml:space="preserve"> министерства энергетики и ЖКХ Нижегородской области от 07.11.2023 N 329-468/23П/од)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определении очередности проведения капитального ремонта общего имущества в многоквартирных домах рекомендуется использовать следующую информацию, если иное не предусмотрено муниципальными правовыми актами: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По </w:t>
      </w:r>
      <w:hyperlink w:history="0" w:anchor="P89" w:tooltip="КРИТЕРИИ">
        <w:r>
          <w:rPr>
            <w:sz w:val="24"/>
            <w:color w:val="0000ff"/>
          </w:rPr>
          <w:t xml:space="preserve">критерию</w:t>
        </w:r>
      </w:hyperlink>
      <w:r>
        <w:rPr>
          <w:sz w:val="24"/>
        </w:rPr>
        <w:t xml:space="preserve"> "год ввода в эксплуатацию многоквартирного дома" - данные технических паспортов многоквартирных домов;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По </w:t>
      </w:r>
      <w:hyperlink w:history="0" w:anchor="P89" w:tooltip="КРИТЕРИИ">
        <w:r>
          <w:rPr>
            <w:sz w:val="24"/>
            <w:color w:val="0000ff"/>
          </w:rPr>
          <w:t xml:space="preserve">критерию</w:t>
        </w:r>
      </w:hyperlink>
      <w:r>
        <w:rPr>
          <w:sz w:val="24"/>
        </w:rPr>
        <w:t xml:space="preserve"> "дата последнего проведения капитального ремонта общего имущества в многоквартирном доме" - акты выполненных работ, данные технических паспортов многоквартирных домов;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По </w:t>
      </w:r>
      <w:hyperlink w:history="0" w:anchor="P89" w:tooltip="КРИТЕРИИ">
        <w:r>
          <w:rPr>
            <w:sz w:val="24"/>
            <w:color w:val="0000ff"/>
          </w:rPr>
          <w:t xml:space="preserve">критерию</w:t>
        </w:r>
      </w:hyperlink>
      <w:r>
        <w:rPr>
          <w:sz w:val="24"/>
        </w:rPr>
        <w:t xml:space="preserve"> "своевременность и полнота внесения взносов на капитальный ремонт" - справки организаций, представляющих собственникам помещений многоквартирных домов платежные документы на оплату взносов на капитальный ремонт;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По </w:t>
      </w:r>
      <w:hyperlink w:history="0" w:anchor="P89" w:tooltip="КРИТЕРИИ">
        <w:r>
          <w:rPr>
            <w:sz w:val="24"/>
            <w:color w:val="0000ff"/>
          </w:rPr>
          <w:t xml:space="preserve">критерию</w:t>
        </w:r>
      </w:hyperlink>
      <w:r>
        <w:rPr>
          <w:sz w:val="24"/>
        </w:rPr>
        <w:t xml:space="preserve"> "многоквартирные дома, управление которыми осуществляется товариществами собственников жилья, и многоквартирные дома, в которых сформирован (избран) совет многоквартирного дома" - свидетельства о государственной регистрации товарищества собственников жилья, протоколы общих собраний собственников помещений в многоквартирных домах о принятии решения об избрании совета дома;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По </w:t>
      </w:r>
      <w:hyperlink w:history="0" w:anchor="P89" w:tooltip="КРИТЕРИИ">
        <w:r>
          <w:rPr>
            <w:sz w:val="24"/>
            <w:color w:val="0000ff"/>
          </w:rPr>
          <w:t xml:space="preserve">критерию</w:t>
        </w:r>
      </w:hyperlink>
      <w:r>
        <w:rPr>
          <w:sz w:val="24"/>
        </w:rPr>
        <w:t xml:space="preserve"> "доля помещений в многоквартирном доме, оборудованных индивидуальными приборами учета горячей и холодной воды, электроэнергии, в общем количестве помещений в многоквартирном доме" - справки и аналитическая информация организаций, осуществляющих управление многоквартирным домом, ресурсоснабжающих организаций.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По </w:t>
      </w:r>
      <w:hyperlink w:history="0" w:anchor="P89" w:tooltip="КРИТЕРИИ">
        <w:r>
          <w:rPr>
            <w:sz w:val="24"/>
            <w:color w:val="0000ff"/>
          </w:rPr>
          <w:t xml:space="preserve">критерию</w:t>
        </w:r>
      </w:hyperlink>
      <w:r>
        <w:rPr>
          <w:sz w:val="24"/>
        </w:rPr>
        <w:t xml:space="preserve"> продолжительность эксплуатации конструктивных элементов и инженерных систем многоквартирного дома - продолжительность эксплуатации исчисляется с года, в котором проведен последний капитальный ремонт, либо с года ввода многоквартирного дома в эксплуатацию, в том числе после реконструкции, если данные о проведении такого капитального ремонта отсутствуют на основании актов выполненных работ и (или) данных технических паспортов многоквартирных домов.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Продолжительность эксплуатации определяется по отношению к минимальной продолжительности эффективной эксплуатации конструктивных элементов и инженерного оборудования зданий, установленной Ведомственными строительными </w:t>
      </w:r>
      <w:hyperlink w:history="0" r:id="rId27" w:tooltip="Приказ Госкомархитектуры от 23.11.1988 N 312 &quot;Об утверждении ведомственных строительных норм Госкомархитектуры &quot;Положение об организации и проведении реконструкции, ремонта и технического обслуживания жилых зданий, объектов коммунального и социально-культурного назначения&quot; (вместе с &quot;ВСН 58-88 (р). Ведомственные строительные нормы. Положение об организации и проведении реконструкции, ремонта и технического обслуживания зданий, объектов коммунального и социально-культурного назначения&quot;) {КонсультантПлюс}">
        <w:r>
          <w:rPr>
            <w:sz w:val="24"/>
            <w:color w:val="0000ff"/>
          </w:rPr>
          <w:t xml:space="preserve">нормами</w:t>
        </w:r>
      </w:hyperlink>
      <w:r>
        <w:rPr>
          <w:sz w:val="24"/>
        </w:rPr>
        <w:t xml:space="preserve"> "Положение об организации и проведении реконструкции, ремонта и технического обслуживания жилых зданий, объектов коммунального и социально-культурного назначения" ВСН 58-88 (р), утвержденными приказом Государственного комитета по архитектуре и градостроительству при Госстрое СССР от 23 ноября 1988 г. N 312.</w:t>
      </w:r>
    </w:p>
    <w:p>
      <w:pPr>
        <w:pStyle w:val="0"/>
        <w:jc w:val="both"/>
      </w:pPr>
      <w:r>
        <w:rPr>
          <w:sz w:val="24"/>
        </w:rPr>
        <w:t xml:space="preserve">(п. 6 введен </w:t>
      </w:r>
      <w:hyperlink w:history="0" r:id="rId28" w:tooltip="Приказ министерства энергетики и ЖКХ Нижегородской области от 13.01.2021 N 329-8/21П/од &quot;О внесении изменений в Порядок применения критериев очередности проведения капитального ремонта общего имущества в многоквартирных домах, утвержденный приказом министерства жилищно-коммунального хозяйства и топливно-энергетического комплекса Нижегородской области от 10 февраля 2014 г. N 6, и о признании утратившим силу приказа министерства энергетики и жилищно-коммунального хозяйства Нижегородской области от 7 декабря 2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министерства энергетики и ЖКХ Нижегородской области от 13.01.2021 N 329-8/21П/од)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Органами местного самоуправления муниципальных и городских округов Нижегородской области принимаются правовые акты, регламентирующие порядок предоставления информации, необходимой для определения очередности проведения капитального ремонта общего имущества в многоквартирных домах.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29" w:tooltip="Приказ министерства энергетики и ЖКХ Нижегородской области от 07.11.2023 N 329-468/23П/од &quot;О внесении изменений в Порядок применения критериев очередности проведения капитального ремонта общего имущества в многоквартирных домах, утвержденный приказом министерства жилищно-коммунального хозяйства и топливно-энергетического комплекса Нижегородской области от 10 февраля 2014 г. N 6&quot; (Включен в Реестр нормативных актов органов исполнительной власти Нижегородской области 14.02.2023 N 25112-329-329-468/23П/од) {КонсультантПлюс}">
        <w:r>
          <w:rPr>
            <w:sz w:val="24"/>
            <w:color w:val="0000ff"/>
          </w:rPr>
          <w:t xml:space="preserve">приказа</w:t>
        </w:r>
      </w:hyperlink>
      <w:r>
        <w:rPr>
          <w:sz w:val="24"/>
        </w:rPr>
        <w:t xml:space="preserve"> министерства энергетики и ЖКХ Нижегородской области от 07.11.2023 N 329-468/23П/од)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Документы, подтверждающие информацию для начисления баллов, подлежат хранению в органах местного самоуправления муниципальных и городских округов Нижегородской области.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30" w:tooltip="Приказ министерства энергетики и ЖКХ Нижегородской области от 07.11.2023 N 329-468/23П/од &quot;О внесении изменений в Порядок применения критериев очередности проведения капитального ремонта общего имущества в многоквартирных домах, утвержденный приказом министерства жилищно-коммунального хозяйства и топливно-энергетического комплекса Нижегородской области от 10 февраля 2014 г. N 6&quot; (Включен в Реестр нормативных актов органов исполнительной власти Нижегородской области 14.02.2023 N 25112-329-329-468/23П/од) {КонсультантПлюс}">
        <w:r>
          <w:rPr>
            <w:sz w:val="24"/>
            <w:color w:val="0000ff"/>
          </w:rPr>
          <w:t xml:space="preserve">приказа</w:t>
        </w:r>
      </w:hyperlink>
      <w:r>
        <w:rPr>
          <w:sz w:val="24"/>
        </w:rPr>
        <w:t xml:space="preserve"> министерства энергетики и ЖКХ Нижегородской области от 07.11.2023 N 329-468/23П/од)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</w:t>
      </w:r>
    </w:p>
    <w:p>
      <w:pPr>
        <w:pStyle w:val="0"/>
        <w:jc w:val="right"/>
      </w:pPr>
      <w:r>
        <w:rPr>
          <w:sz w:val="24"/>
        </w:rPr>
        <w:t xml:space="preserve">к Порядку</w:t>
      </w:r>
    </w:p>
    <w:p>
      <w:pPr>
        <w:pStyle w:val="0"/>
        <w:jc w:val="right"/>
      </w:pPr>
      <w:r>
        <w:rPr>
          <w:sz w:val="24"/>
        </w:rPr>
        <w:t xml:space="preserve">применения критериев очередности проведения</w:t>
      </w:r>
    </w:p>
    <w:p>
      <w:pPr>
        <w:pStyle w:val="0"/>
        <w:jc w:val="right"/>
      </w:pPr>
      <w:r>
        <w:rPr>
          <w:sz w:val="24"/>
        </w:rPr>
        <w:t xml:space="preserve">капитального ремонта общего имущества</w:t>
      </w:r>
    </w:p>
    <w:p>
      <w:pPr>
        <w:pStyle w:val="0"/>
        <w:jc w:val="right"/>
      </w:pPr>
      <w:r>
        <w:rPr>
          <w:sz w:val="24"/>
        </w:rPr>
        <w:t xml:space="preserve">в многоквартирных домах</w:t>
      </w:r>
    </w:p>
    <w:p>
      <w:pPr>
        <w:pStyle w:val="0"/>
        <w:jc w:val="both"/>
      </w:pPr>
      <w:r>
        <w:rPr>
          <w:sz w:val="24"/>
        </w:rPr>
      </w:r>
    </w:p>
    <w:bookmarkStart w:id="89" w:name="P89"/>
    <w:bookmarkEnd w:id="89"/>
    <w:p>
      <w:pPr>
        <w:pStyle w:val="2"/>
        <w:jc w:val="center"/>
      </w:pPr>
      <w:r>
        <w:rPr>
          <w:sz w:val="24"/>
        </w:rPr>
        <w:t xml:space="preserve">КРИТЕРИИ</w:t>
      </w:r>
    </w:p>
    <w:p>
      <w:pPr>
        <w:pStyle w:val="2"/>
        <w:jc w:val="center"/>
      </w:pPr>
      <w:r>
        <w:rPr>
          <w:sz w:val="24"/>
        </w:rPr>
        <w:t xml:space="preserve">ОПРЕДЕЛЕНИЯ ОЧЕРЕДНОСТИ ВЫПОЛНЕНИЯ КАПИТАЛЬНОГО</w:t>
      </w:r>
    </w:p>
    <w:p>
      <w:pPr>
        <w:pStyle w:val="2"/>
        <w:jc w:val="center"/>
      </w:pPr>
      <w:r>
        <w:rPr>
          <w:sz w:val="24"/>
        </w:rPr>
        <w:t xml:space="preserve">РЕМОНТА ОБЩЕГО ИМУЩЕСТВА В МНОГОКВАРТИРНЫХ ДОМАХ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(в ред. </w:t>
            </w:r>
            <w:hyperlink w:history="0" r:id="rId31" w:tooltip="Приказ министерства энергетики и ЖКХ Нижегородской области от 13.01.2021 N 329-8/21П/од &quot;О внесении изменений в Порядок применения критериев очередности проведения капитального ремонта общего имущества в многоквартирных домах, утвержденный приказом министерства жилищно-коммунального хозяйства и топливно-энергетического комплекса Нижегородской области от 10 февраля 2014 г. N 6, и о признании утратившим силу приказа министерства энергетики и жилищно-коммунального хозяйства Нижегородской области от 7 декабря 2 {КонсультантПлюс}">
              <w:r>
                <w:rPr>
                  <w:sz w:val="24"/>
                  <w:color w:val="0000ff"/>
                </w:rPr>
                <w:t xml:space="preserve">приказа</w:t>
              </w:r>
            </w:hyperlink>
            <w:r>
              <w:rPr>
                <w:sz w:val="24"/>
                <w:color w:val="392c69"/>
              </w:rPr>
              <w:t xml:space="preserve"> министерства энергетики и ЖКХ Нижегородской области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13.01.2021 N 329-8/21П/од)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7"/>
        <w:gridCol w:w="6690"/>
        <w:gridCol w:w="1361"/>
      </w:tblGrid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</w:t>
            </w:r>
          </w:p>
        </w:tc>
        <w:tc>
          <w:tcPr>
            <w:tcW w:w="66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критерия</w:t>
            </w:r>
          </w:p>
        </w:tc>
        <w:tc>
          <w:tcPr>
            <w:tcW w:w="136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Количество баллов</w:t>
            </w:r>
          </w:p>
        </w:tc>
      </w:tr>
      <w:tr>
        <w:tc>
          <w:tcPr>
            <w:tcW w:w="907" w:type="dxa"/>
          </w:tcPr>
          <w:p>
            <w:pPr>
              <w:pStyle w:val="0"/>
              <w:outlineLvl w:val="2"/>
              <w:jc w:val="center"/>
            </w:pPr>
            <w:r>
              <w:rPr>
                <w:sz w:val="24"/>
              </w:rPr>
              <w:t xml:space="preserve">1.</w:t>
            </w:r>
          </w:p>
        </w:tc>
        <w:tc>
          <w:tcPr>
            <w:gridSpan w:val="2"/>
            <w:tcW w:w="8051" w:type="dxa"/>
          </w:tcPr>
          <w:p>
            <w:pPr>
              <w:pStyle w:val="0"/>
              <w:ind w:firstLine="375"/>
              <w:jc w:val="both"/>
            </w:pPr>
            <w:r>
              <w:rPr>
                <w:sz w:val="24"/>
              </w:rPr>
              <w:t xml:space="preserve">Год ввода в эксплуатацию многоквартирного дома (применяется отдельно в отношении каждого вида работ):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1.1</w:t>
            </w:r>
          </w:p>
        </w:tc>
        <w:tc>
          <w:tcPr>
            <w:tcW w:w="6690" w:type="dxa"/>
          </w:tcPr>
          <w:p>
            <w:pPr>
              <w:pStyle w:val="0"/>
              <w:ind w:firstLine="375"/>
              <w:jc w:val="both"/>
            </w:pPr>
            <w:r>
              <w:rPr>
                <w:sz w:val="24"/>
              </w:rPr>
              <w:t xml:space="preserve">По 1980 г.</w:t>
            </w:r>
          </w:p>
        </w:tc>
        <w:tc>
          <w:tcPr>
            <w:tcW w:w="1361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0 - 100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1.2</w:t>
            </w:r>
          </w:p>
        </w:tc>
        <w:tc>
          <w:tcPr>
            <w:tcW w:w="6690" w:type="dxa"/>
          </w:tcPr>
          <w:p>
            <w:pPr>
              <w:pStyle w:val="0"/>
              <w:ind w:firstLine="375"/>
              <w:jc w:val="both"/>
            </w:pPr>
            <w:r>
              <w:rPr>
                <w:sz w:val="24"/>
              </w:rPr>
              <w:t xml:space="preserve">1981 - 1990 гг.</w:t>
            </w:r>
          </w:p>
        </w:tc>
        <w:tc>
          <w:tcPr>
            <w:vMerge w:val="continue"/>
          </w:tcPr>
          <w:p/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1.3</w:t>
            </w:r>
          </w:p>
        </w:tc>
        <w:tc>
          <w:tcPr>
            <w:tcW w:w="6690" w:type="dxa"/>
          </w:tcPr>
          <w:p>
            <w:pPr>
              <w:pStyle w:val="0"/>
              <w:ind w:firstLine="375"/>
              <w:jc w:val="both"/>
            </w:pPr>
            <w:r>
              <w:rPr>
                <w:sz w:val="24"/>
              </w:rPr>
              <w:t xml:space="preserve">1991 - 2000 гг.</w:t>
            </w:r>
          </w:p>
        </w:tc>
        <w:tc>
          <w:tcPr>
            <w:vMerge w:val="continue"/>
          </w:tcPr>
          <w:p/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1.4</w:t>
            </w:r>
          </w:p>
        </w:tc>
        <w:tc>
          <w:tcPr>
            <w:tcW w:w="6690" w:type="dxa"/>
          </w:tcPr>
          <w:p>
            <w:pPr>
              <w:pStyle w:val="0"/>
              <w:ind w:firstLine="375"/>
              <w:jc w:val="both"/>
            </w:pPr>
            <w:r>
              <w:rPr>
                <w:sz w:val="24"/>
              </w:rPr>
              <w:t xml:space="preserve">С 2001 г.</w:t>
            </w:r>
          </w:p>
        </w:tc>
        <w:tc>
          <w:tcPr>
            <w:vMerge w:val="continue"/>
          </w:tcPr>
          <w:p/>
        </w:tc>
      </w:tr>
      <w:tr>
        <w:tc>
          <w:tcPr>
            <w:tcW w:w="907" w:type="dxa"/>
          </w:tcPr>
          <w:p>
            <w:pPr>
              <w:pStyle w:val="0"/>
              <w:outlineLvl w:val="2"/>
              <w:jc w:val="center"/>
            </w:pPr>
            <w:r>
              <w:rPr>
                <w:sz w:val="24"/>
              </w:rPr>
              <w:t xml:space="preserve">2.</w:t>
            </w:r>
          </w:p>
        </w:tc>
        <w:tc>
          <w:tcPr>
            <w:gridSpan w:val="2"/>
            <w:tcW w:w="8051" w:type="dxa"/>
          </w:tcPr>
          <w:p>
            <w:pPr>
              <w:pStyle w:val="0"/>
              <w:ind w:firstLine="375"/>
              <w:jc w:val="both"/>
            </w:pPr>
            <w:r>
              <w:rPr>
                <w:sz w:val="24"/>
              </w:rPr>
              <w:t xml:space="preserve">Дата последнего проведения капитального ремонта общего имущества в многоквартирном доме (применяется отдельно в отношении каждого вида работ):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2.1</w:t>
            </w:r>
          </w:p>
        </w:tc>
        <w:tc>
          <w:tcPr>
            <w:tcW w:w="6690" w:type="dxa"/>
          </w:tcPr>
          <w:p>
            <w:pPr>
              <w:pStyle w:val="0"/>
              <w:ind w:firstLine="375"/>
              <w:jc w:val="both"/>
            </w:pPr>
            <w:r>
              <w:rPr>
                <w:sz w:val="24"/>
              </w:rPr>
              <w:t xml:space="preserve">Ремонт внутридомовых инженерных систем электро-, тепло-, газо-, водоснабжения, водоотведения</w:t>
            </w:r>
          </w:p>
        </w:tc>
        <w:tc>
          <w:tcPr>
            <w:tcW w:w="1361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2.1.1</w:t>
            </w:r>
          </w:p>
        </w:tc>
        <w:tc>
          <w:tcPr>
            <w:tcW w:w="6690" w:type="dxa"/>
          </w:tcPr>
          <w:p>
            <w:pPr>
              <w:pStyle w:val="0"/>
              <w:ind w:firstLine="375"/>
              <w:jc w:val="both"/>
            </w:pPr>
            <w:r>
              <w:rPr>
                <w:sz w:val="24"/>
              </w:rPr>
              <w:t xml:space="preserve">до 1981 г. или не было для домов до 1981 года постройки</w:t>
            </w:r>
          </w:p>
        </w:tc>
        <w:tc>
          <w:tcPr>
            <w:tcW w:w="1361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0 - 100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2.1.2</w:t>
            </w:r>
          </w:p>
        </w:tc>
        <w:tc>
          <w:tcPr>
            <w:tcW w:w="6690" w:type="dxa"/>
          </w:tcPr>
          <w:p>
            <w:pPr>
              <w:pStyle w:val="0"/>
              <w:ind w:firstLine="375"/>
              <w:jc w:val="both"/>
            </w:pPr>
            <w:r>
              <w:rPr>
                <w:sz w:val="24"/>
              </w:rPr>
              <w:t xml:space="preserve">1981 - 1990 гг. или не было для домов 1981 - 1990 годов постройки</w:t>
            </w:r>
          </w:p>
        </w:tc>
        <w:tc>
          <w:tcPr>
            <w:vMerge w:val="continue"/>
          </w:tcPr>
          <w:p/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2.1.3</w:t>
            </w:r>
          </w:p>
        </w:tc>
        <w:tc>
          <w:tcPr>
            <w:tcW w:w="6690" w:type="dxa"/>
          </w:tcPr>
          <w:p>
            <w:pPr>
              <w:pStyle w:val="0"/>
              <w:ind w:firstLine="375"/>
              <w:jc w:val="both"/>
            </w:pPr>
            <w:r>
              <w:rPr>
                <w:sz w:val="24"/>
              </w:rPr>
              <w:t xml:space="preserve">1991 - 2000 гг. или не было для домов 1991 - 2000 годов постройки</w:t>
            </w:r>
          </w:p>
        </w:tc>
        <w:tc>
          <w:tcPr>
            <w:vMerge w:val="continue"/>
          </w:tcPr>
          <w:p/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2.1.4</w:t>
            </w:r>
          </w:p>
        </w:tc>
        <w:tc>
          <w:tcPr>
            <w:tcW w:w="6690" w:type="dxa"/>
          </w:tcPr>
          <w:p>
            <w:pPr>
              <w:pStyle w:val="0"/>
              <w:ind w:firstLine="375"/>
              <w:jc w:val="both"/>
            </w:pPr>
            <w:r>
              <w:rPr>
                <w:sz w:val="24"/>
              </w:rPr>
              <w:t xml:space="preserve">2001 - 2007 гг. или не было для домов 2001 - 2007 годов постройки</w:t>
            </w:r>
          </w:p>
        </w:tc>
        <w:tc>
          <w:tcPr>
            <w:vMerge w:val="continue"/>
          </w:tcPr>
          <w:p/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2.1.5</w:t>
            </w:r>
          </w:p>
        </w:tc>
        <w:tc>
          <w:tcPr>
            <w:tcW w:w="6690" w:type="dxa"/>
          </w:tcPr>
          <w:p>
            <w:pPr>
              <w:pStyle w:val="0"/>
              <w:ind w:firstLine="375"/>
              <w:jc w:val="both"/>
            </w:pPr>
            <w:r>
              <w:rPr>
                <w:sz w:val="24"/>
              </w:rPr>
              <w:t xml:space="preserve">после 2007 г. или не было для домов года постройки начиная с 2008 г.</w:t>
            </w:r>
          </w:p>
        </w:tc>
        <w:tc>
          <w:tcPr>
            <w:vMerge w:val="continue"/>
          </w:tcPr>
          <w:p/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2.2</w:t>
            </w:r>
          </w:p>
        </w:tc>
        <w:tc>
          <w:tcPr>
            <w:tcW w:w="6690" w:type="dxa"/>
          </w:tcPr>
          <w:p>
            <w:pPr>
              <w:pStyle w:val="0"/>
              <w:ind w:firstLine="375"/>
              <w:jc w:val="both"/>
            </w:pPr>
            <w:r>
              <w:rPr>
                <w:sz w:val="24"/>
              </w:rPr>
              <w:t xml:space="preserve">Ремонт, замена, модернизация лифтов, ремонт лифтовых шахт, машинных и блочных помещений</w:t>
            </w:r>
          </w:p>
        </w:tc>
        <w:tc>
          <w:tcPr>
            <w:tcW w:w="1361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2.2.1</w:t>
            </w:r>
          </w:p>
        </w:tc>
        <w:tc>
          <w:tcPr>
            <w:tcW w:w="6690" w:type="dxa"/>
          </w:tcPr>
          <w:p>
            <w:pPr>
              <w:pStyle w:val="0"/>
              <w:ind w:firstLine="375"/>
              <w:jc w:val="both"/>
            </w:pPr>
            <w:r>
              <w:rPr>
                <w:sz w:val="24"/>
              </w:rPr>
              <w:t xml:space="preserve">срок эксплуатации лифтового оборудования равен или свыше 38 лет</w:t>
            </w:r>
          </w:p>
        </w:tc>
        <w:tc>
          <w:tcPr>
            <w:tcW w:w="1361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0 - 100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2.2.2</w:t>
            </w:r>
          </w:p>
        </w:tc>
        <w:tc>
          <w:tcPr>
            <w:tcW w:w="6690" w:type="dxa"/>
          </w:tcPr>
          <w:p>
            <w:pPr>
              <w:pStyle w:val="0"/>
              <w:ind w:firstLine="375"/>
              <w:jc w:val="both"/>
            </w:pPr>
            <w:r>
              <w:rPr>
                <w:sz w:val="24"/>
              </w:rPr>
              <w:t xml:space="preserve">срок эксплуатации лифтового оборудования 35 - 37 лет</w:t>
            </w:r>
          </w:p>
        </w:tc>
        <w:tc>
          <w:tcPr>
            <w:vMerge w:val="continue"/>
          </w:tcPr>
          <w:p/>
        </w:tc>
      </w:tr>
      <w:tr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6690" w:type="dxa"/>
          </w:tcPr>
          <w:p>
            <w:pPr>
              <w:pStyle w:val="0"/>
              <w:ind w:firstLine="375"/>
              <w:jc w:val="both"/>
            </w:pPr>
            <w:r>
              <w:rPr>
                <w:sz w:val="24"/>
              </w:rPr>
              <w:t xml:space="preserve">срок эксплуатации лифтового оборудования 33 - 34 года</w:t>
            </w:r>
          </w:p>
        </w:tc>
        <w:tc>
          <w:tcPr>
            <w:vMerge w:val="continue"/>
          </w:tcPr>
          <w:p/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2.2.3</w:t>
            </w:r>
          </w:p>
        </w:tc>
        <w:tc>
          <w:tcPr>
            <w:tcW w:w="6690" w:type="dxa"/>
          </w:tcPr>
          <w:p>
            <w:pPr>
              <w:pStyle w:val="0"/>
              <w:ind w:firstLine="375"/>
              <w:jc w:val="both"/>
            </w:pPr>
            <w:r>
              <w:rPr>
                <w:sz w:val="24"/>
              </w:rPr>
              <w:t xml:space="preserve">срок эксплуатации лифтового оборудования 31 - 32 года</w:t>
            </w:r>
          </w:p>
        </w:tc>
        <w:tc>
          <w:tcPr>
            <w:vMerge w:val="continue"/>
          </w:tcPr>
          <w:p/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2.2.4</w:t>
            </w:r>
          </w:p>
        </w:tc>
        <w:tc>
          <w:tcPr>
            <w:tcW w:w="6690" w:type="dxa"/>
          </w:tcPr>
          <w:p>
            <w:pPr>
              <w:pStyle w:val="0"/>
              <w:ind w:firstLine="375"/>
              <w:jc w:val="both"/>
            </w:pPr>
            <w:r>
              <w:rPr>
                <w:sz w:val="24"/>
              </w:rPr>
              <w:t xml:space="preserve">срок эксплуатации лифтового оборудования 29 - 30 лет</w:t>
            </w:r>
          </w:p>
        </w:tc>
        <w:tc>
          <w:tcPr>
            <w:vMerge w:val="continue"/>
          </w:tcPr>
          <w:p/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2.2.5</w:t>
            </w:r>
          </w:p>
        </w:tc>
        <w:tc>
          <w:tcPr>
            <w:tcW w:w="6690" w:type="dxa"/>
          </w:tcPr>
          <w:p>
            <w:pPr>
              <w:pStyle w:val="0"/>
              <w:ind w:firstLine="375"/>
              <w:jc w:val="both"/>
            </w:pPr>
            <w:r>
              <w:rPr>
                <w:sz w:val="24"/>
              </w:rPr>
              <w:t xml:space="preserve">срок эксплуатации лифтового оборудования 25 - 28 лет</w:t>
            </w:r>
          </w:p>
        </w:tc>
        <w:tc>
          <w:tcPr>
            <w:vMerge w:val="continue"/>
          </w:tcPr>
          <w:p/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2.2.6</w:t>
            </w:r>
          </w:p>
        </w:tc>
        <w:tc>
          <w:tcPr>
            <w:tcW w:w="6690" w:type="dxa"/>
          </w:tcPr>
          <w:p>
            <w:pPr>
              <w:pStyle w:val="0"/>
              <w:ind w:firstLine="375"/>
              <w:jc w:val="both"/>
            </w:pPr>
            <w:r>
              <w:rPr>
                <w:sz w:val="24"/>
              </w:rPr>
              <w:t xml:space="preserve">срок эксплуатации лифтового оборудования меньше или равен 24 годам</w:t>
            </w:r>
          </w:p>
        </w:tc>
        <w:tc>
          <w:tcPr>
            <w:vMerge w:val="continue"/>
          </w:tcPr>
          <w:p/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2.3</w:t>
            </w:r>
          </w:p>
        </w:tc>
        <w:tc>
          <w:tcPr>
            <w:tcW w:w="6690" w:type="dxa"/>
          </w:tcPr>
          <w:p>
            <w:pPr>
              <w:pStyle w:val="0"/>
              <w:ind w:firstLine="375"/>
              <w:jc w:val="both"/>
            </w:pPr>
            <w:r>
              <w:rPr>
                <w:sz w:val="24"/>
              </w:rPr>
              <w:t xml:space="preserve">Ремонт крыши</w:t>
            </w:r>
          </w:p>
        </w:tc>
        <w:tc>
          <w:tcPr>
            <w:tcW w:w="1361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2.3.1</w:t>
            </w:r>
          </w:p>
        </w:tc>
        <w:tc>
          <w:tcPr>
            <w:tcW w:w="6690" w:type="dxa"/>
          </w:tcPr>
          <w:p>
            <w:pPr>
              <w:pStyle w:val="0"/>
              <w:ind w:firstLine="375"/>
              <w:jc w:val="both"/>
            </w:pPr>
            <w:r>
              <w:rPr>
                <w:sz w:val="24"/>
              </w:rPr>
              <w:t xml:space="preserve">до 1981 г. или не было для домов до 1981 года постройки</w:t>
            </w:r>
          </w:p>
        </w:tc>
        <w:tc>
          <w:tcPr>
            <w:tcW w:w="1361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0 - 100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2.3.2</w:t>
            </w:r>
          </w:p>
        </w:tc>
        <w:tc>
          <w:tcPr>
            <w:tcW w:w="6690" w:type="dxa"/>
          </w:tcPr>
          <w:p>
            <w:pPr>
              <w:pStyle w:val="0"/>
              <w:ind w:firstLine="375"/>
              <w:jc w:val="both"/>
            </w:pPr>
            <w:r>
              <w:rPr>
                <w:sz w:val="24"/>
              </w:rPr>
              <w:t xml:space="preserve">1981 - 1990 гг. или не было для домов 1981 - 1990 годов постройки</w:t>
            </w:r>
          </w:p>
        </w:tc>
        <w:tc>
          <w:tcPr>
            <w:vMerge w:val="continue"/>
          </w:tcPr>
          <w:p/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2.3.3</w:t>
            </w:r>
          </w:p>
        </w:tc>
        <w:tc>
          <w:tcPr>
            <w:tcW w:w="6690" w:type="dxa"/>
          </w:tcPr>
          <w:p>
            <w:pPr>
              <w:pStyle w:val="0"/>
              <w:ind w:firstLine="375"/>
              <w:jc w:val="both"/>
            </w:pPr>
            <w:r>
              <w:rPr>
                <w:sz w:val="24"/>
              </w:rPr>
              <w:t xml:space="preserve">1991 - 2000 гг. или не было для домов 1991 - 2000 годов постройки</w:t>
            </w:r>
          </w:p>
        </w:tc>
        <w:tc>
          <w:tcPr>
            <w:vMerge w:val="continue"/>
          </w:tcPr>
          <w:p/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2.3.4</w:t>
            </w:r>
          </w:p>
        </w:tc>
        <w:tc>
          <w:tcPr>
            <w:tcW w:w="6690" w:type="dxa"/>
          </w:tcPr>
          <w:p>
            <w:pPr>
              <w:pStyle w:val="0"/>
              <w:ind w:firstLine="375"/>
              <w:jc w:val="both"/>
            </w:pPr>
            <w:r>
              <w:rPr>
                <w:sz w:val="24"/>
              </w:rPr>
              <w:t xml:space="preserve">2001 - 2007 гг. или не было для домов 2001 - 2007 годов постройки</w:t>
            </w:r>
          </w:p>
        </w:tc>
        <w:tc>
          <w:tcPr>
            <w:vMerge w:val="continue"/>
          </w:tcPr>
          <w:p/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2.3.5</w:t>
            </w:r>
          </w:p>
        </w:tc>
        <w:tc>
          <w:tcPr>
            <w:tcW w:w="6690" w:type="dxa"/>
          </w:tcPr>
          <w:p>
            <w:pPr>
              <w:pStyle w:val="0"/>
              <w:ind w:firstLine="375"/>
              <w:jc w:val="both"/>
            </w:pPr>
            <w:r>
              <w:rPr>
                <w:sz w:val="24"/>
              </w:rPr>
              <w:t xml:space="preserve">после 2007 г. или не было для домов года постройки начиная с 2008 г.</w:t>
            </w:r>
          </w:p>
        </w:tc>
        <w:tc>
          <w:tcPr>
            <w:vMerge w:val="continue"/>
          </w:tcPr>
          <w:p/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2.4</w:t>
            </w:r>
          </w:p>
        </w:tc>
        <w:tc>
          <w:tcPr>
            <w:tcW w:w="6690" w:type="dxa"/>
          </w:tcPr>
          <w:p>
            <w:pPr>
              <w:pStyle w:val="0"/>
              <w:ind w:firstLine="375"/>
              <w:jc w:val="both"/>
            </w:pPr>
            <w:r>
              <w:rPr>
                <w:sz w:val="24"/>
              </w:rPr>
              <w:t xml:space="preserve">Ремонт подвальных помещений, относящихся к общему имуществу в многоквартирном доме</w:t>
            </w:r>
          </w:p>
        </w:tc>
        <w:tc>
          <w:tcPr>
            <w:tcW w:w="1361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2.4.1</w:t>
            </w:r>
          </w:p>
        </w:tc>
        <w:tc>
          <w:tcPr>
            <w:tcW w:w="6690" w:type="dxa"/>
          </w:tcPr>
          <w:p>
            <w:pPr>
              <w:pStyle w:val="0"/>
              <w:ind w:firstLine="375"/>
              <w:jc w:val="both"/>
            </w:pPr>
            <w:r>
              <w:rPr>
                <w:sz w:val="24"/>
              </w:rPr>
              <w:t xml:space="preserve">до 1981 г. или не было для домов до 1981 года постройки</w:t>
            </w:r>
          </w:p>
        </w:tc>
        <w:tc>
          <w:tcPr>
            <w:tcW w:w="1361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0 - 100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2.4.2</w:t>
            </w:r>
          </w:p>
        </w:tc>
        <w:tc>
          <w:tcPr>
            <w:tcW w:w="6690" w:type="dxa"/>
          </w:tcPr>
          <w:p>
            <w:pPr>
              <w:pStyle w:val="0"/>
              <w:ind w:firstLine="375"/>
              <w:jc w:val="both"/>
            </w:pPr>
            <w:r>
              <w:rPr>
                <w:sz w:val="24"/>
              </w:rPr>
              <w:t xml:space="preserve">1981 - 1990 гг. или не было для домов 1981 - 1990 годов постройки</w:t>
            </w:r>
          </w:p>
        </w:tc>
        <w:tc>
          <w:tcPr>
            <w:vMerge w:val="continue"/>
          </w:tcPr>
          <w:p/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2.4.3</w:t>
            </w:r>
          </w:p>
        </w:tc>
        <w:tc>
          <w:tcPr>
            <w:tcW w:w="6690" w:type="dxa"/>
          </w:tcPr>
          <w:p>
            <w:pPr>
              <w:pStyle w:val="0"/>
              <w:ind w:firstLine="375"/>
              <w:jc w:val="both"/>
            </w:pPr>
            <w:r>
              <w:rPr>
                <w:sz w:val="24"/>
              </w:rPr>
              <w:t xml:space="preserve">1991 - 2000 гг. или не было для домов 1991 - 2000 годов постройки</w:t>
            </w:r>
          </w:p>
        </w:tc>
        <w:tc>
          <w:tcPr>
            <w:vMerge w:val="continue"/>
          </w:tcPr>
          <w:p/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2.4.4</w:t>
            </w:r>
          </w:p>
        </w:tc>
        <w:tc>
          <w:tcPr>
            <w:tcW w:w="6690" w:type="dxa"/>
          </w:tcPr>
          <w:p>
            <w:pPr>
              <w:pStyle w:val="0"/>
              <w:ind w:firstLine="375"/>
              <w:jc w:val="both"/>
            </w:pPr>
            <w:r>
              <w:rPr>
                <w:sz w:val="24"/>
              </w:rPr>
              <w:t xml:space="preserve">2001 - 2007 гг. или не было для домов 2001 - 2007 годов постройки</w:t>
            </w:r>
          </w:p>
        </w:tc>
        <w:tc>
          <w:tcPr>
            <w:vMerge w:val="continue"/>
          </w:tcPr>
          <w:p/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2.4.5</w:t>
            </w:r>
          </w:p>
        </w:tc>
        <w:tc>
          <w:tcPr>
            <w:tcW w:w="6690" w:type="dxa"/>
          </w:tcPr>
          <w:p>
            <w:pPr>
              <w:pStyle w:val="0"/>
              <w:ind w:firstLine="375"/>
              <w:jc w:val="both"/>
            </w:pPr>
            <w:r>
              <w:rPr>
                <w:sz w:val="24"/>
              </w:rPr>
              <w:t xml:space="preserve">после 2007 г. или не было для домов года постройки начиная с 2008 г.</w:t>
            </w:r>
          </w:p>
        </w:tc>
        <w:tc>
          <w:tcPr>
            <w:vMerge w:val="continue"/>
          </w:tcPr>
          <w:p/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2.5</w:t>
            </w:r>
          </w:p>
        </w:tc>
        <w:tc>
          <w:tcPr>
            <w:tcW w:w="6690" w:type="dxa"/>
          </w:tcPr>
          <w:p>
            <w:pPr>
              <w:pStyle w:val="0"/>
              <w:ind w:firstLine="375"/>
              <w:jc w:val="both"/>
            </w:pPr>
            <w:r>
              <w:rPr>
                <w:sz w:val="24"/>
              </w:rPr>
              <w:t xml:space="preserve">Ремонт и (или) утепление фасада</w:t>
            </w:r>
          </w:p>
        </w:tc>
        <w:tc>
          <w:tcPr>
            <w:tcW w:w="1361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2.5.1</w:t>
            </w:r>
          </w:p>
        </w:tc>
        <w:tc>
          <w:tcPr>
            <w:tcW w:w="6690" w:type="dxa"/>
          </w:tcPr>
          <w:p>
            <w:pPr>
              <w:pStyle w:val="0"/>
              <w:ind w:firstLine="375"/>
              <w:jc w:val="both"/>
            </w:pPr>
            <w:r>
              <w:rPr>
                <w:sz w:val="24"/>
              </w:rPr>
              <w:t xml:space="preserve">до 1981 г. или не было для домов до 1981 года постройки</w:t>
            </w:r>
          </w:p>
        </w:tc>
        <w:tc>
          <w:tcPr>
            <w:tcW w:w="1361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0 - 100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2.5.2</w:t>
            </w:r>
          </w:p>
        </w:tc>
        <w:tc>
          <w:tcPr>
            <w:tcW w:w="6690" w:type="dxa"/>
          </w:tcPr>
          <w:p>
            <w:pPr>
              <w:pStyle w:val="0"/>
              <w:ind w:firstLine="375"/>
              <w:jc w:val="both"/>
            </w:pPr>
            <w:r>
              <w:rPr>
                <w:sz w:val="24"/>
              </w:rPr>
              <w:t xml:space="preserve">1981 - 1990 гг. или не было для домов 1981 - 1990 годов постройки</w:t>
            </w:r>
          </w:p>
        </w:tc>
        <w:tc>
          <w:tcPr>
            <w:vMerge w:val="continue"/>
          </w:tcPr>
          <w:p/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2.5.3</w:t>
            </w:r>
          </w:p>
        </w:tc>
        <w:tc>
          <w:tcPr>
            <w:tcW w:w="6690" w:type="dxa"/>
          </w:tcPr>
          <w:p>
            <w:pPr>
              <w:pStyle w:val="0"/>
              <w:ind w:firstLine="375"/>
              <w:jc w:val="both"/>
            </w:pPr>
            <w:r>
              <w:rPr>
                <w:sz w:val="24"/>
              </w:rPr>
              <w:t xml:space="preserve">1991 - 2000 гг. или не было для домов 1991 - 2000 годов постройки</w:t>
            </w:r>
          </w:p>
        </w:tc>
        <w:tc>
          <w:tcPr>
            <w:vMerge w:val="continue"/>
          </w:tcPr>
          <w:p/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2.5.4</w:t>
            </w:r>
          </w:p>
        </w:tc>
        <w:tc>
          <w:tcPr>
            <w:tcW w:w="6690" w:type="dxa"/>
          </w:tcPr>
          <w:p>
            <w:pPr>
              <w:pStyle w:val="0"/>
              <w:ind w:firstLine="375"/>
              <w:jc w:val="both"/>
            </w:pPr>
            <w:r>
              <w:rPr>
                <w:sz w:val="24"/>
              </w:rPr>
              <w:t xml:space="preserve">2001 - 2007 гг. или не было для домов 2001 - 2007 годов постройки</w:t>
            </w:r>
          </w:p>
        </w:tc>
        <w:tc>
          <w:tcPr>
            <w:vMerge w:val="continue"/>
          </w:tcPr>
          <w:p/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2.5.5</w:t>
            </w:r>
          </w:p>
        </w:tc>
        <w:tc>
          <w:tcPr>
            <w:tcW w:w="6690" w:type="dxa"/>
          </w:tcPr>
          <w:p>
            <w:pPr>
              <w:pStyle w:val="0"/>
              <w:ind w:firstLine="375"/>
              <w:jc w:val="both"/>
            </w:pPr>
            <w:r>
              <w:rPr>
                <w:sz w:val="24"/>
              </w:rPr>
              <w:t xml:space="preserve">после 2007 г. или не было для домов года постройки начиная с 2008 г.</w:t>
            </w:r>
          </w:p>
        </w:tc>
        <w:tc>
          <w:tcPr>
            <w:vMerge w:val="continue"/>
          </w:tcPr>
          <w:p/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2.6</w:t>
            </w:r>
          </w:p>
        </w:tc>
        <w:tc>
          <w:tcPr>
            <w:tcW w:w="6690" w:type="dxa"/>
          </w:tcPr>
          <w:p>
            <w:pPr>
              <w:pStyle w:val="0"/>
              <w:ind w:firstLine="375"/>
              <w:jc w:val="both"/>
            </w:pPr>
            <w:r>
              <w:rPr>
                <w:sz w:val="24"/>
              </w:rPr>
              <w:t xml:space="preserve">Ремонт фундамента многоквартирного дома</w:t>
            </w:r>
          </w:p>
        </w:tc>
        <w:tc>
          <w:tcPr>
            <w:tcW w:w="1361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2.6.1</w:t>
            </w:r>
          </w:p>
        </w:tc>
        <w:tc>
          <w:tcPr>
            <w:tcW w:w="6690" w:type="dxa"/>
          </w:tcPr>
          <w:p>
            <w:pPr>
              <w:pStyle w:val="0"/>
              <w:ind w:firstLine="375"/>
              <w:jc w:val="both"/>
            </w:pPr>
            <w:r>
              <w:rPr>
                <w:sz w:val="24"/>
              </w:rPr>
              <w:t xml:space="preserve">до 1981 г. или не было для домов до 1981 года постройки</w:t>
            </w:r>
          </w:p>
        </w:tc>
        <w:tc>
          <w:tcPr>
            <w:tcW w:w="1361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0 - 100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2.6.2</w:t>
            </w:r>
          </w:p>
        </w:tc>
        <w:tc>
          <w:tcPr>
            <w:tcW w:w="6690" w:type="dxa"/>
          </w:tcPr>
          <w:p>
            <w:pPr>
              <w:pStyle w:val="0"/>
              <w:ind w:firstLine="375"/>
              <w:jc w:val="both"/>
            </w:pPr>
            <w:r>
              <w:rPr>
                <w:sz w:val="24"/>
              </w:rPr>
              <w:t xml:space="preserve">1981 - 1990 гг. или не было для домов 1981 - 1990 годов постройки</w:t>
            </w:r>
          </w:p>
        </w:tc>
        <w:tc>
          <w:tcPr>
            <w:vMerge w:val="continue"/>
          </w:tcPr>
          <w:p/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2.6.3</w:t>
            </w:r>
          </w:p>
        </w:tc>
        <w:tc>
          <w:tcPr>
            <w:tcW w:w="6690" w:type="dxa"/>
          </w:tcPr>
          <w:p>
            <w:pPr>
              <w:pStyle w:val="0"/>
              <w:ind w:firstLine="375"/>
              <w:jc w:val="both"/>
            </w:pPr>
            <w:r>
              <w:rPr>
                <w:sz w:val="24"/>
              </w:rPr>
              <w:t xml:space="preserve">1991 - 2000 гг. или не было для домов 1991 - 2000 годов постройки</w:t>
            </w:r>
          </w:p>
        </w:tc>
        <w:tc>
          <w:tcPr>
            <w:vMerge w:val="continue"/>
          </w:tcPr>
          <w:p/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2.6.4</w:t>
            </w:r>
          </w:p>
        </w:tc>
        <w:tc>
          <w:tcPr>
            <w:tcW w:w="6690" w:type="dxa"/>
          </w:tcPr>
          <w:p>
            <w:pPr>
              <w:pStyle w:val="0"/>
              <w:ind w:firstLine="375"/>
              <w:jc w:val="both"/>
            </w:pPr>
            <w:r>
              <w:rPr>
                <w:sz w:val="24"/>
              </w:rPr>
              <w:t xml:space="preserve">2001 - 2007 гг. или не было для домов 2001 - 2007 годов постройки</w:t>
            </w:r>
          </w:p>
        </w:tc>
        <w:tc>
          <w:tcPr>
            <w:vMerge w:val="continue"/>
          </w:tcPr>
          <w:p/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2.6.5</w:t>
            </w:r>
          </w:p>
        </w:tc>
        <w:tc>
          <w:tcPr>
            <w:tcW w:w="6690" w:type="dxa"/>
          </w:tcPr>
          <w:p>
            <w:pPr>
              <w:pStyle w:val="0"/>
              <w:ind w:firstLine="375"/>
              <w:jc w:val="both"/>
            </w:pPr>
            <w:r>
              <w:rPr>
                <w:sz w:val="24"/>
              </w:rPr>
              <w:t xml:space="preserve">после 2007 г. или не было для домов года постройки начиная с 2008 г.</w:t>
            </w:r>
          </w:p>
        </w:tc>
        <w:tc>
          <w:tcPr>
            <w:vMerge w:val="continue"/>
          </w:tcPr>
          <w:p/>
        </w:tc>
      </w:tr>
      <w:tr>
        <w:tc>
          <w:tcPr>
            <w:tcW w:w="907" w:type="dxa"/>
          </w:tcPr>
          <w:p>
            <w:pPr>
              <w:pStyle w:val="0"/>
              <w:outlineLvl w:val="2"/>
              <w:jc w:val="center"/>
            </w:pPr>
            <w:r>
              <w:rPr>
                <w:sz w:val="24"/>
              </w:rPr>
              <w:t xml:space="preserve">3.</w:t>
            </w:r>
          </w:p>
        </w:tc>
        <w:tc>
          <w:tcPr>
            <w:gridSpan w:val="2"/>
            <w:tcW w:w="8051" w:type="dxa"/>
          </w:tcPr>
          <w:p>
            <w:pPr>
              <w:pStyle w:val="0"/>
              <w:ind w:firstLine="375"/>
              <w:jc w:val="both"/>
            </w:pPr>
            <w:r>
              <w:rPr>
                <w:sz w:val="24"/>
              </w:rPr>
              <w:t xml:space="preserve">Своевременность и полнота внесения взносов на капитальный ремонт общего имущества в многоквартирном доме (применяется отдельно в отношении каждого вида работ):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3.1</w:t>
            </w:r>
          </w:p>
        </w:tc>
        <w:tc>
          <w:tcPr>
            <w:tcW w:w="6690" w:type="dxa"/>
          </w:tcPr>
          <w:p>
            <w:pPr>
              <w:pStyle w:val="0"/>
              <w:ind w:firstLine="375"/>
              <w:jc w:val="both"/>
            </w:pPr>
            <w:r>
              <w:rPr>
                <w:sz w:val="24"/>
              </w:rPr>
              <w:t xml:space="preserve">Среднемесячный уровень сбора взносов собственников помещений на капитальный ремонт общего имущества в многоквартирном доме за предыдущие 12 месяцев в размере не менее 95%</w:t>
            </w:r>
          </w:p>
        </w:tc>
        <w:tc>
          <w:tcPr>
            <w:tcW w:w="1361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0 - 100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3.2</w:t>
            </w:r>
          </w:p>
        </w:tc>
        <w:tc>
          <w:tcPr>
            <w:tcW w:w="6690" w:type="dxa"/>
          </w:tcPr>
          <w:p>
            <w:pPr>
              <w:pStyle w:val="0"/>
              <w:ind w:firstLine="375"/>
              <w:jc w:val="both"/>
            </w:pPr>
            <w:r>
              <w:rPr>
                <w:sz w:val="24"/>
              </w:rPr>
              <w:t xml:space="preserve">Среднемесячный уровень сбора взносов собственников помещений на капитальный ремонт общего имущества в многоквартирном доме за предыдущие 12 месяцев в размере менее 95%, но не менее 90%</w:t>
            </w:r>
          </w:p>
        </w:tc>
        <w:tc>
          <w:tcPr>
            <w:vMerge w:val="continue"/>
          </w:tcPr>
          <w:p/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3.3</w:t>
            </w:r>
          </w:p>
        </w:tc>
        <w:tc>
          <w:tcPr>
            <w:tcW w:w="6690" w:type="dxa"/>
          </w:tcPr>
          <w:p>
            <w:pPr>
              <w:pStyle w:val="0"/>
              <w:ind w:firstLine="375"/>
              <w:jc w:val="both"/>
            </w:pPr>
            <w:r>
              <w:rPr>
                <w:sz w:val="24"/>
              </w:rPr>
              <w:t xml:space="preserve">Среднемесячный уровень сбора взносов собственников помещений на капитальный ремонт общего имущества в многоквартирном доме за предыдущие 12 месяцев в размере менее 90%, но не менее 85%</w:t>
            </w:r>
          </w:p>
        </w:tc>
        <w:tc>
          <w:tcPr>
            <w:vMerge w:val="continue"/>
          </w:tcPr>
          <w:p/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3.4</w:t>
            </w:r>
          </w:p>
        </w:tc>
        <w:tc>
          <w:tcPr>
            <w:tcW w:w="6690" w:type="dxa"/>
          </w:tcPr>
          <w:p>
            <w:pPr>
              <w:pStyle w:val="0"/>
              <w:ind w:firstLine="375"/>
              <w:jc w:val="both"/>
            </w:pPr>
            <w:r>
              <w:rPr>
                <w:sz w:val="24"/>
              </w:rPr>
              <w:t xml:space="preserve">Среднемесячный уровень сбора взносов собственников помещений на капитальный ремонт общего имущества в многоквартирном доме за предыдущие 12 месяцев в размере менее 85%</w:t>
            </w:r>
          </w:p>
        </w:tc>
        <w:tc>
          <w:tcPr>
            <w:vMerge w:val="continue"/>
          </w:tcPr>
          <w:p/>
        </w:tc>
      </w:tr>
      <w:tr>
        <w:tc>
          <w:tcPr>
            <w:tcW w:w="907" w:type="dxa"/>
          </w:tcPr>
          <w:p>
            <w:pPr>
              <w:pStyle w:val="0"/>
              <w:outlineLvl w:val="2"/>
              <w:jc w:val="center"/>
            </w:pPr>
            <w:r>
              <w:rPr>
                <w:sz w:val="24"/>
              </w:rPr>
              <w:t xml:space="preserve">4.</w:t>
            </w:r>
          </w:p>
        </w:tc>
        <w:tc>
          <w:tcPr>
            <w:tcW w:w="6690" w:type="dxa"/>
          </w:tcPr>
          <w:p>
            <w:pPr>
              <w:pStyle w:val="0"/>
              <w:ind w:firstLine="375"/>
              <w:jc w:val="both"/>
            </w:pPr>
            <w:r>
              <w:rPr>
                <w:sz w:val="24"/>
              </w:rPr>
              <w:t xml:space="preserve">Многоквартирные дома, управление которыми осуществляется товариществом собственников жилья (применяется отдельно в отношении каждого вида работ):</w:t>
            </w:r>
          </w:p>
        </w:tc>
        <w:tc>
          <w:tcPr>
            <w:tcW w:w="1361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0 - 100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4.1</w:t>
            </w:r>
          </w:p>
        </w:tc>
        <w:tc>
          <w:tcPr>
            <w:tcW w:w="6690" w:type="dxa"/>
          </w:tcPr>
          <w:p>
            <w:pPr>
              <w:pStyle w:val="0"/>
              <w:ind w:firstLine="375"/>
              <w:jc w:val="both"/>
            </w:pPr>
            <w:r>
              <w:rPr>
                <w:sz w:val="24"/>
              </w:rPr>
              <w:t xml:space="preserve">Многоквартирные дома, управление которыми осуществляется управляющими организациями и в которых собственники помещений в многоквартирном доме на общем собрании избрали совет многоквартирного дома (применяется отдельно в отношении каждого вида работ)</w:t>
            </w:r>
          </w:p>
        </w:tc>
        <w:tc>
          <w:tcPr>
            <w:vMerge w:val="continue"/>
          </w:tcPr>
          <w:p/>
        </w:tc>
      </w:tr>
      <w:tr>
        <w:tc>
          <w:tcPr>
            <w:tcW w:w="907" w:type="dxa"/>
          </w:tcPr>
          <w:p>
            <w:pPr>
              <w:pStyle w:val="0"/>
              <w:outlineLvl w:val="2"/>
              <w:jc w:val="center"/>
            </w:pPr>
            <w:r>
              <w:rPr>
                <w:sz w:val="24"/>
              </w:rPr>
              <w:t xml:space="preserve">5.</w:t>
            </w:r>
          </w:p>
        </w:tc>
        <w:tc>
          <w:tcPr>
            <w:gridSpan w:val="2"/>
            <w:tcW w:w="8051" w:type="dxa"/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Доля помещений в многоквартирном доме, оборудованных индивидуальными приборами учета горячей и холодной воды, электроэнергии, в общем количестве помещений в многоквартирном доме (по каждому виду ресурса) (применяется отдельно в отношении каждого вида работ):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5.1</w:t>
            </w:r>
          </w:p>
        </w:tc>
        <w:tc>
          <w:tcPr>
            <w:tcW w:w="6690" w:type="dxa"/>
          </w:tcPr>
          <w:p>
            <w:pPr>
              <w:pStyle w:val="0"/>
              <w:ind w:firstLine="375"/>
              <w:jc w:val="both"/>
            </w:pPr>
            <w:r>
              <w:rPr>
                <w:sz w:val="24"/>
              </w:rPr>
              <w:t xml:space="preserve">От 90% по 100% и где отсутствует техническая возможность установки индивидуальных приборов учета горячей и холодной воды, электроэнергии</w:t>
            </w:r>
          </w:p>
        </w:tc>
        <w:tc>
          <w:tcPr>
            <w:tcW w:w="1361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0 - 100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5.2</w:t>
            </w:r>
          </w:p>
        </w:tc>
        <w:tc>
          <w:tcPr>
            <w:tcW w:w="6690" w:type="dxa"/>
          </w:tcPr>
          <w:p>
            <w:pPr>
              <w:pStyle w:val="0"/>
              <w:ind w:firstLine="375"/>
              <w:jc w:val="both"/>
            </w:pPr>
            <w:r>
              <w:rPr>
                <w:sz w:val="24"/>
              </w:rPr>
              <w:t xml:space="preserve">От 75% до 90%</w:t>
            </w:r>
          </w:p>
        </w:tc>
        <w:tc>
          <w:tcPr>
            <w:vMerge w:val="continue"/>
          </w:tcPr>
          <w:p/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5.3</w:t>
            </w:r>
          </w:p>
        </w:tc>
        <w:tc>
          <w:tcPr>
            <w:tcW w:w="6690" w:type="dxa"/>
          </w:tcPr>
          <w:p>
            <w:pPr>
              <w:pStyle w:val="0"/>
              <w:ind w:firstLine="375"/>
              <w:jc w:val="both"/>
            </w:pPr>
            <w:r>
              <w:rPr>
                <w:sz w:val="24"/>
              </w:rPr>
              <w:t xml:space="preserve">От 50% до 75%</w:t>
            </w:r>
          </w:p>
        </w:tc>
        <w:tc>
          <w:tcPr>
            <w:vMerge w:val="continue"/>
          </w:tcPr>
          <w:p/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5.4</w:t>
            </w:r>
          </w:p>
        </w:tc>
        <w:tc>
          <w:tcPr>
            <w:tcW w:w="6690" w:type="dxa"/>
          </w:tcPr>
          <w:p>
            <w:pPr>
              <w:pStyle w:val="0"/>
              <w:ind w:firstLine="375"/>
              <w:jc w:val="both"/>
            </w:pPr>
            <w:r>
              <w:rPr>
                <w:sz w:val="24"/>
              </w:rPr>
              <w:t xml:space="preserve">Не более 50%</w:t>
            </w:r>
          </w:p>
        </w:tc>
        <w:tc>
          <w:tcPr>
            <w:vMerge w:val="continue"/>
          </w:tcPr>
          <w:p/>
        </w:tc>
      </w:tr>
      <w:tr>
        <w:tc>
          <w:tcPr>
            <w:tcW w:w="907" w:type="dxa"/>
          </w:tcPr>
          <w:p>
            <w:pPr>
              <w:pStyle w:val="0"/>
              <w:outlineLvl w:val="2"/>
              <w:jc w:val="center"/>
            </w:pPr>
            <w:r>
              <w:rPr>
                <w:sz w:val="24"/>
              </w:rPr>
              <w:t xml:space="preserve">6.</w:t>
            </w:r>
          </w:p>
        </w:tc>
        <w:tc>
          <w:tcPr>
            <w:gridSpan w:val="2"/>
            <w:tcW w:w="8051" w:type="dxa"/>
          </w:tcPr>
          <w:p>
            <w:pPr>
              <w:pStyle w:val="0"/>
              <w:ind w:firstLine="375"/>
              <w:jc w:val="both"/>
            </w:pPr>
            <w:r>
              <w:rPr>
                <w:sz w:val="24"/>
              </w:rPr>
              <w:t xml:space="preserve">Продолжительность эксплуатации конструктивных элементов и инженерных систем многоквартирного дома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6.1</w:t>
            </w:r>
          </w:p>
        </w:tc>
        <w:tc>
          <w:tcPr>
            <w:tcW w:w="6690" w:type="dxa"/>
          </w:tcPr>
          <w:p>
            <w:pPr>
              <w:pStyle w:val="0"/>
              <w:ind w:firstLine="375"/>
              <w:jc w:val="both"/>
            </w:pPr>
            <w:r>
              <w:rPr>
                <w:sz w:val="24"/>
              </w:rPr>
              <w:t xml:space="preserve">Ремонт внутридомовых инженерных систем электро-, тепло-, газо-, водоснабжения, водоотведения</w:t>
            </w:r>
          </w:p>
        </w:tc>
        <w:tc>
          <w:tcPr>
            <w:tcW w:w="1361" w:type="dxa"/>
            <w:vAlign w:val="center"/>
            <w:tcBorders>
              <w:bottom w:val="nil"/>
            </w:tcBorders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0 - 100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6.2</w:t>
            </w:r>
          </w:p>
        </w:tc>
        <w:tc>
          <w:tcPr>
            <w:tcW w:w="6690" w:type="dxa"/>
          </w:tcPr>
          <w:p>
            <w:pPr>
              <w:pStyle w:val="0"/>
              <w:ind w:firstLine="375"/>
              <w:jc w:val="both"/>
            </w:pPr>
            <w:r>
              <w:rPr>
                <w:sz w:val="24"/>
              </w:rPr>
              <w:t xml:space="preserve">Ремонт, замена, модернизация лифтов, ремонт лифтовых шахт, машинных и блочных помещений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6.3</w:t>
            </w:r>
          </w:p>
        </w:tc>
        <w:tc>
          <w:tcPr>
            <w:tcW w:w="6690" w:type="dxa"/>
          </w:tcPr>
          <w:p>
            <w:pPr>
              <w:pStyle w:val="0"/>
              <w:ind w:firstLine="375"/>
              <w:jc w:val="both"/>
            </w:pPr>
            <w:r>
              <w:rPr>
                <w:sz w:val="24"/>
              </w:rPr>
              <w:t xml:space="preserve">Ремонт крыши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6.4</w:t>
            </w:r>
          </w:p>
        </w:tc>
        <w:tc>
          <w:tcPr>
            <w:tcW w:w="6690" w:type="dxa"/>
          </w:tcPr>
          <w:p>
            <w:pPr>
              <w:pStyle w:val="0"/>
              <w:ind w:firstLine="375"/>
              <w:jc w:val="both"/>
            </w:pPr>
            <w:r>
              <w:rPr>
                <w:sz w:val="24"/>
              </w:rPr>
              <w:t xml:space="preserve">Ремонт подвальных помещений, относящихся к общему имуществу в многоквартирном доме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6.5</w:t>
            </w:r>
          </w:p>
        </w:tc>
        <w:tc>
          <w:tcPr>
            <w:tcW w:w="6690" w:type="dxa"/>
          </w:tcPr>
          <w:p>
            <w:pPr>
              <w:pStyle w:val="0"/>
              <w:ind w:firstLine="375"/>
              <w:jc w:val="both"/>
            </w:pPr>
            <w:r>
              <w:rPr>
                <w:sz w:val="24"/>
              </w:rPr>
              <w:t xml:space="preserve">Ремонт и (или) утепление фасада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6.6</w:t>
            </w:r>
          </w:p>
        </w:tc>
        <w:tc>
          <w:tcPr>
            <w:tcW w:w="6690" w:type="dxa"/>
          </w:tcPr>
          <w:p>
            <w:pPr>
              <w:pStyle w:val="0"/>
              <w:ind w:firstLine="375"/>
              <w:jc w:val="both"/>
            </w:pPr>
            <w:r>
              <w:rPr>
                <w:sz w:val="24"/>
              </w:rPr>
              <w:t xml:space="preserve">Ремонт фундамента многоквартирного дома</w:t>
            </w:r>
          </w:p>
        </w:tc>
        <w:tc>
          <w:tcPr>
            <w:tcW w:w="1361" w:type="dxa"/>
            <w:vAlign w:val="center"/>
            <w:tcBorders>
              <w:top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Итоговое значение баллов по критерию "доля помещений в многоквартирном доме, оборудованных индивидуальными приборами учета горячей и холодной воды, электроэнергии, в общем количестве помещений в многоквартирном доме" определяется по формуле: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center"/>
      </w:pPr>
      <w:r>
        <w:rPr>
          <w:position w:val="-45"/>
        </w:rPr>
        <w:drawing>
          <wp:inline distT="0" distB="0" distL="0" distR="0">
            <wp:extent cx="1051560" cy="731520"/>
            <wp:effectExtent l="0" t="0" r="0" b="0"/>
            <wp:docPr id="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156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где: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</w:t>
      </w:r>
      <w:r>
        <w:rPr>
          <w:sz w:val="24"/>
          <w:vertAlign w:val="subscript"/>
        </w:rPr>
        <w:t xml:space="preserve">ny</w:t>
      </w:r>
      <w:r>
        <w:rPr>
          <w:sz w:val="24"/>
        </w:rPr>
        <w:t xml:space="preserve"> - доля помещений в многоквартирном доме, оборудованных индивидуальными приборами учета горячей и холодной воды, электроэнергии, в общем количестве помещений в многоквартирном доме,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</w:t>
      </w:r>
      <w:r>
        <w:rPr>
          <w:sz w:val="24"/>
          <w:vertAlign w:val="subscript"/>
        </w:rPr>
        <w:t xml:space="preserve">i</w:t>
      </w:r>
      <w:r>
        <w:rPr>
          <w:sz w:val="24"/>
        </w:rPr>
        <w:t xml:space="preserve"> - доля помещений в многоквартирном доме, оборудованных индивидуальными приборами учета, в общем количестве помещений в многоквартирном доме отдельно по i-й услуге (горячего водоснабжения, холодного водоснабжения, электроэнергии),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n - количество видов коммунальных услуг (горячего водоснабжения, холодного водоснабжения, электроэнергии) в многоквартирном доме.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министерства ЖКХ и ТЭК Нижегородской области от 10.02.2014 N 6</w:t>
            <w:br/>
            <w:t>(ред. от 07.11.2023)</w:t>
            <w:br/>
            <w:t>"Об утверждении Порядка приме...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19.03.2025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RLAW187&amp;n=135837&amp;date=19.03.2025&amp;dst=100006&amp;field=134" TargetMode = "External"/>
	<Relationship Id="rId8" Type="http://schemas.openxmlformats.org/officeDocument/2006/relationships/hyperlink" Target="https://login.consultant.ru/link/?req=doc&amp;base=RLAW187&amp;n=140767&amp;date=19.03.2025&amp;dst=100006&amp;field=134" TargetMode = "External"/>
	<Relationship Id="rId9" Type="http://schemas.openxmlformats.org/officeDocument/2006/relationships/hyperlink" Target="https://login.consultant.ru/link/?req=doc&amp;base=RLAW187&amp;n=151121&amp;date=19.03.2025&amp;dst=100006&amp;field=134" TargetMode = "External"/>
	<Relationship Id="rId10" Type="http://schemas.openxmlformats.org/officeDocument/2006/relationships/hyperlink" Target="https://login.consultant.ru/link/?req=doc&amp;base=RLAW187&amp;n=230821&amp;date=19.03.2025&amp;dst=100006&amp;field=134" TargetMode = "External"/>
	<Relationship Id="rId11" Type="http://schemas.openxmlformats.org/officeDocument/2006/relationships/hyperlink" Target="https://login.consultant.ru/link/?req=doc&amp;base=RLAW187&amp;n=289848&amp;date=19.03.2025&amp;dst=100006&amp;field=134" TargetMode = "External"/>
	<Relationship Id="rId12" Type="http://schemas.openxmlformats.org/officeDocument/2006/relationships/hyperlink" Target="https://login.consultant.ru/link/?req=doc&amp;base=RLAW187&amp;n=305119&amp;date=19.03.2025&amp;dst=100144&amp;field=134" TargetMode = "External"/>
	<Relationship Id="rId13" Type="http://schemas.openxmlformats.org/officeDocument/2006/relationships/hyperlink" Target="https://login.consultant.ru/link/?req=doc&amp;base=RLAW187&amp;n=135837&amp;date=19.03.2025&amp;dst=100006&amp;field=134" TargetMode = "External"/>
	<Relationship Id="rId14" Type="http://schemas.openxmlformats.org/officeDocument/2006/relationships/hyperlink" Target="https://login.consultant.ru/link/?req=doc&amp;base=RLAW187&amp;n=151121&amp;date=19.03.2025&amp;dst=100006&amp;field=134" TargetMode = "External"/>
	<Relationship Id="rId15" Type="http://schemas.openxmlformats.org/officeDocument/2006/relationships/hyperlink" Target="https://login.consultant.ru/link/?req=doc&amp;base=RLAW187&amp;n=230821&amp;date=19.03.2025&amp;dst=100006&amp;field=134" TargetMode = "External"/>
	<Relationship Id="rId16" Type="http://schemas.openxmlformats.org/officeDocument/2006/relationships/hyperlink" Target="https://login.consultant.ru/link/?req=doc&amp;base=RLAW187&amp;n=289848&amp;date=19.03.2025&amp;dst=100006&amp;field=134" TargetMode = "External"/>
	<Relationship Id="rId17" Type="http://schemas.openxmlformats.org/officeDocument/2006/relationships/hyperlink" Target="https://login.consultant.ru/link/?req=doc&amp;base=RLAW187&amp;n=305119&amp;date=19.03.2025&amp;dst=100144&amp;field=134" TargetMode = "External"/>
	<Relationship Id="rId18" Type="http://schemas.openxmlformats.org/officeDocument/2006/relationships/hyperlink" Target="https://login.consultant.ru/link/?req=doc&amp;base=RLAW187&amp;n=151121&amp;date=19.03.2025&amp;dst=100007&amp;field=134" TargetMode = "External"/>
	<Relationship Id="rId19" Type="http://schemas.openxmlformats.org/officeDocument/2006/relationships/hyperlink" Target="https://login.consultant.ru/link/?req=doc&amp;base=RLAW187&amp;n=230821&amp;date=19.03.2025&amp;dst=100007&amp;field=134" TargetMode = "External"/>
	<Relationship Id="rId20" Type="http://schemas.openxmlformats.org/officeDocument/2006/relationships/hyperlink" Target="https://login.consultant.ru/link/?req=doc&amp;base=RLAW187&amp;n=151121&amp;date=19.03.2025&amp;dst=100007&amp;field=134" TargetMode = "External"/>
	<Relationship Id="rId21" Type="http://schemas.openxmlformats.org/officeDocument/2006/relationships/hyperlink" Target="https://login.consultant.ru/link/?req=doc&amp;base=RLAW187&amp;n=151121&amp;date=19.03.2025&amp;dst=100007&amp;field=134" TargetMode = "External"/>
	<Relationship Id="rId22" Type="http://schemas.openxmlformats.org/officeDocument/2006/relationships/hyperlink" Target="https://login.consultant.ru/link/?req=doc&amp;base=RLAW187&amp;n=151121&amp;date=19.03.2025&amp;dst=100007&amp;field=134" TargetMode = "External"/>
	<Relationship Id="rId23" Type="http://schemas.openxmlformats.org/officeDocument/2006/relationships/hyperlink" Target="https://login.consultant.ru/link/?req=doc&amp;base=RLAW187&amp;n=230821&amp;date=19.03.2025&amp;dst=100008&amp;field=134" TargetMode = "External"/>
	<Relationship Id="rId24" Type="http://schemas.openxmlformats.org/officeDocument/2006/relationships/hyperlink" Target="https://login.consultant.ru/link/?req=doc&amp;base=RLAW187&amp;n=151121&amp;date=19.03.2025&amp;dst=100007&amp;field=134" TargetMode = "External"/>
	<Relationship Id="rId25" Type="http://schemas.openxmlformats.org/officeDocument/2006/relationships/hyperlink" Target="https://login.consultant.ru/link/?req=doc&amp;base=RLAW187&amp;n=230821&amp;date=19.03.2025&amp;dst=100010&amp;field=134" TargetMode = "External"/>
	<Relationship Id="rId26" Type="http://schemas.openxmlformats.org/officeDocument/2006/relationships/hyperlink" Target="https://login.consultant.ru/link/?req=doc&amp;base=RLAW187&amp;n=289848&amp;date=19.03.2025&amp;dst=100007&amp;field=134" TargetMode = "External"/>
	<Relationship Id="rId27" Type="http://schemas.openxmlformats.org/officeDocument/2006/relationships/hyperlink" Target="https://login.consultant.ru/link/?req=doc&amp;base=LAW&amp;n=85632&amp;date=19.03.2025&amp;dst=100013&amp;field=134" TargetMode = "External"/>
	<Relationship Id="rId28" Type="http://schemas.openxmlformats.org/officeDocument/2006/relationships/hyperlink" Target="https://login.consultant.ru/link/?req=doc&amp;base=RLAW187&amp;n=230821&amp;date=19.03.2025&amp;dst=100013&amp;field=134" TargetMode = "External"/>
	<Relationship Id="rId29" Type="http://schemas.openxmlformats.org/officeDocument/2006/relationships/hyperlink" Target="https://login.consultant.ru/link/?req=doc&amp;base=RLAW187&amp;n=289848&amp;date=19.03.2025&amp;dst=100009&amp;field=134" TargetMode = "External"/>
	<Relationship Id="rId30" Type="http://schemas.openxmlformats.org/officeDocument/2006/relationships/hyperlink" Target="https://login.consultant.ru/link/?req=doc&amp;base=RLAW187&amp;n=289848&amp;date=19.03.2025&amp;dst=100011&amp;field=134" TargetMode = "External"/>
	<Relationship Id="rId31" Type="http://schemas.openxmlformats.org/officeDocument/2006/relationships/hyperlink" Target="https://login.consultant.ru/link/?req=doc&amp;base=RLAW187&amp;n=230821&amp;date=19.03.2025&amp;dst=100017&amp;field=134" TargetMode = "External"/>
	<Relationship Id="rId32" Type="http://schemas.openxmlformats.org/officeDocument/2006/relationships/image" Target="media/image2.wmf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министерства ЖКХ и ТЭК Нижегородской области от 10.02.2014 N 6
(ред. от 07.11.2023)
"Об утверждении Порядка применения критериев очередности проведения капитального ремонта общего имущества в многоквартирных домах"
(Включен в Реестр нормативных актов органов исполнительной власти Нижегородской области 01.08.2014 N 05875-317-006)</dc:title>
  <dcterms:created xsi:type="dcterms:W3CDTF">2025-03-19T11:15:54Z</dcterms:created>
</cp:coreProperties>
</file>